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12" w:rsidRDefault="001C1012" w:rsidP="001C1012">
      <w:pPr>
        <w:jc w:val="center"/>
        <w:rPr>
          <w:b/>
          <w:sz w:val="24"/>
        </w:rPr>
      </w:pPr>
      <w:r w:rsidRPr="00F35385">
        <w:rPr>
          <w:b/>
          <w:sz w:val="24"/>
        </w:rPr>
        <w:t>PRUEBA N°</w:t>
      </w:r>
      <w:r w:rsidR="003C31BC">
        <w:rPr>
          <w:b/>
          <w:sz w:val="24"/>
        </w:rPr>
        <w:t>9</w:t>
      </w:r>
      <w:r w:rsidRPr="00F35385">
        <w:rPr>
          <w:b/>
          <w:sz w:val="24"/>
        </w:rPr>
        <w:t xml:space="preserve">. </w:t>
      </w:r>
      <w:r w:rsidR="003C31BC">
        <w:rPr>
          <w:b/>
          <w:sz w:val="24"/>
        </w:rPr>
        <w:t>EXCEDENTE DE LIBRE DISPOSICIÓN / TRIBUTACIÓN</w:t>
      </w:r>
    </w:p>
    <w:p w:rsidR="00894581" w:rsidRPr="00F35385" w:rsidRDefault="00894581" w:rsidP="001C1012">
      <w:pPr>
        <w:jc w:val="center"/>
        <w:rPr>
          <w:b/>
          <w:sz w:val="24"/>
        </w:rPr>
      </w:pPr>
    </w:p>
    <w:p w:rsidR="00B75C63" w:rsidRDefault="000D645B" w:rsidP="00B75C63">
      <w:pPr>
        <w:pStyle w:val="Prrafodelista"/>
        <w:numPr>
          <w:ilvl w:val="0"/>
          <w:numId w:val="10"/>
        </w:numPr>
        <w:jc w:val="both"/>
      </w:pPr>
      <w:r>
        <w:t>Todo afiliado que cuente con a lo menos 10 años de afiliación en cualquier sistema previsional, podrá retirar parte del saldo de su cuenta de capitalización individual como Excedente de Libre Disposición si sus fondos previsionales le permiten obtener una pensión al menos igual al</w:t>
      </w:r>
      <w:r w:rsidR="00B75C63" w:rsidRPr="00B75C63">
        <w:t>:</w:t>
      </w:r>
      <w:r w:rsidR="00B75C63" w:rsidRPr="00B75C63">
        <w:rPr>
          <w:vertAlign w:val="superscript"/>
        </w:rPr>
        <w:footnoteReference w:id="1"/>
      </w:r>
    </w:p>
    <w:p w:rsidR="00B75C63" w:rsidRPr="00B75C63" w:rsidRDefault="000D645B" w:rsidP="00B75C63">
      <w:pPr>
        <w:pStyle w:val="Prrafodelista"/>
        <w:numPr>
          <w:ilvl w:val="0"/>
          <w:numId w:val="17"/>
        </w:numPr>
        <w:ind w:hanging="447"/>
      </w:pPr>
      <w:r>
        <w:t>50% de su última remuneración o renta imponible</w:t>
      </w:r>
      <w:r w:rsidR="00B75C63" w:rsidRPr="00B75C63">
        <w:t>.</w:t>
      </w:r>
    </w:p>
    <w:p w:rsidR="00B75C63" w:rsidRPr="00B75C63" w:rsidRDefault="000D645B" w:rsidP="00B75C63">
      <w:pPr>
        <w:pStyle w:val="Prrafodelista"/>
        <w:numPr>
          <w:ilvl w:val="0"/>
          <w:numId w:val="17"/>
        </w:numPr>
        <w:ind w:hanging="447"/>
      </w:pPr>
      <w:r>
        <w:t>70% del promedio de sus remuneraciones imponibles, y rentas declaradas</w:t>
      </w:r>
      <w:r w:rsidR="00B75C63" w:rsidRPr="00B75C63">
        <w:t>.</w:t>
      </w:r>
    </w:p>
    <w:p w:rsidR="00B75C63" w:rsidRPr="00B75C63" w:rsidRDefault="000D645B" w:rsidP="00B75C63">
      <w:pPr>
        <w:pStyle w:val="Prrafodelista"/>
        <w:numPr>
          <w:ilvl w:val="0"/>
          <w:numId w:val="17"/>
        </w:numPr>
        <w:ind w:hanging="447"/>
      </w:pPr>
      <w:r>
        <w:t xml:space="preserve">100% </w:t>
      </w:r>
      <w:r>
        <w:t>de la pensión máxima con aporte solidario</w:t>
      </w:r>
      <w:r w:rsidR="00B75C63" w:rsidRPr="00B75C63">
        <w:t>.</w:t>
      </w:r>
    </w:p>
    <w:p w:rsidR="00876CAE" w:rsidRPr="0037446D" w:rsidRDefault="00B75C63" w:rsidP="001C1012">
      <w:pPr>
        <w:pStyle w:val="Prrafodelista"/>
        <w:numPr>
          <w:ilvl w:val="0"/>
          <w:numId w:val="2"/>
        </w:numPr>
        <w:ind w:left="1418" w:hanging="425"/>
      </w:pPr>
      <w:r w:rsidRPr="0037446D">
        <w:t>I y II</w:t>
      </w:r>
    </w:p>
    <w:p w:rsidR="00876CAE" w:rsidRDefault="00B75C63" w:rsidP="001C1012">
      <w:pPr>
        <w:pStyle w:val="Prrafodelista"/>
        <w:numPr>
          <w:ilvl w:val="0"/>
          <w:numId w:val="2"/>
        </w:numPr>
        <w:ind w:left="1418" w:hanging="425"/>
      </w:pPr>
      <w:r>
        <w:t>I y III</w:t>
      </w:r>
    </w:p>
    <w:p w:rsidR="00876CAE" w:rsidRPr="000D645B" w:rsidRDefault="00B75C63" w:rsidP="00876CAE">
      <w:pPr>
        <w:pStyle w:val="Prrafodelista"/>
        <w:numPr>
          <w:ilvl w:val="0"/>
          <w:numId w:val="2"/>
        </w:numPr>
        <w:ind w:left="1418" w:hanging="425"/>
        <w:rPr>
          <w:highlight w:val="yellow"/>
        </w:rPr>
      </w:pPr>
      <w:r w:rsidRPr="000D645B">
        <w:rPr>
          <w:highlight w:val="yellow"/>
        </w:rPr>
        <w:t>II y III</w:t>
      </w:r>
    </w:p>
    <w:p w:rsidR="00876CAE" w:rsidRPr="000D645B" w:rsidRDefault="00B75C63" w:rsidP="00876CAE">
      <w:pPr>
        <w:pStyle w:val="Prrafodelista"/>
        <w:numPr>
          <w:ilvl w:val="0"/>
          <w:numId w:val="2"/>
        </w:numPr>
        <w:ind w:left="1418" w:hanging="425"/>
      </w:pPr>
      <w:r w:rsidRPr="000D645B">
        <w:t>I, II y III</w:t>
      </w:r>
    </w:p>
    <w:p w:rsidR="00894581" w:rsidRPr="00F35385" w:rsidRDefault="00894581"/>
    <w:p w:rsidR="00E16558" w:rsidRDefault="000D645B" w:rsidP="00E16558">
      <w:pPr>
        <w:pStyle w:val="Prrafodelista"/>
        <w:numPr>
          <w:ilvl w:val="0"/>
          <w:numId w:val="10"/>
        </w:numPr>
        <w:jc w:val="both"/>
      </w:pPr>
      <w:r>
        <w:t>El derecho a retirar excedente de libre disposición se determina para</w:t>
      </w:r>
      <w:r>
        <w:t xml:space="preserve"> las siguientes personas</w:t>
      </w:r>
      <w:r w:rsidR="00F928FB">
        <w:t>:</w:t>
      </w:r>
      <w:r w:rsidR="00E16558" w:rsidRPr="00E16558">
        <w:rPr>
          <w:vertAlign w:val="superscript"/>
        </w:rPr>
        <w:footnoteReference w:id="2"/>
      </w:r>
    </w:p>
    <w:p w:rsidR="000D645B" w:rsidRPr="00B75C63" w:rsidRDefault="000D645B" w:rsidP="000D645B">
      <w:pPr>
        <w:pStyle w:val="Prrafodelista"/>
        <w:numPr>
          <w:ilvl w:val="0"/>
          <w:numId w:val="28"/>
        </w:numPr>
        <w:ind w:hanging="447"/>
      </w:pPr>
      <w:r>
        <w:t>Afiliados que solicitan pensión de vejez por edad</w:t>
      </w:r>
      <w:r w:rsidRPr="00B75C63">
        <w:t>.</w:t>
      </w:r>
    </w:p>
    <w:p w:rsidR="000D645B" w:rsidRPr="00B75C63" w:rsidRDefault="000D645B" w:rsidP="000D645B">
      <w:pPr>
        <w:pStyle w:val="Prrafodelista"/>
        <w:numPr>
          <w:ilvl w:val="0"/>
          <w:numId w:val="28"/>
        </w:numPr>
        <w:ind w:hanging="447"/>
      </w:pPr>
      <w:r>
        <w:t>Afiliados que solicitan pensión de vejez anticipada</w:t>
      </w:r>
      <w:r w:rsidRPr="00B75C63">
        <w:t>.</w:t>
      </w:r>
    </w:p>
    <w:p w:rsidR="000D645B" w:rsidRPr="00B75C63" w:rsidRDefault="000D645B" w:rsidP="000D645B">
      <w:pPr>
        <w:pStyle w:val="Prrafodelista"/>
        <w:numPr>
          <w:ilvl w:val="0"/>
          <w:numId w:val="28"/>
        </w:numPr>
        <w:ind w:hanging="447"/>
      </w:pPr>
      <w:r>
        <w:t>Afiliados que sean determinados como inválidos definitivos</w:t>
      </w:r>
    </w:p>
    <w:p w:rsidR="000D645B" w:rsidRPr="0037446D" w:rsidRDefault="000D645B" w:rsidP="000D645B">
      <w:pPr>
        <w:pStyle w:val="Prrafodelista"/>
        <w:numPr>
          <w:ilvl w:val="0"/>
          <w:numId w:val="29"/>
        </w:numPr>
        <w:ind w:left="1418" w:hanging="425"/>
      </w:pPr>
      <w:r w:rsidRPr="0037446D">
        <w:t>I y II</w:t>
      </w:r>
    </w:p>
    <w:p w:rsidR="000D645B" w:rsidRDefault="000D645B" w:rsidP="000D645B">
      <w:pPr>
        <w:pStyle w:val="Prrafodelista"/>
        <w:numPr>
          <w:ilvl w:val="0"/>
          <w:numId w:val="29"/>
        </w:numPr>
        <w:ind w:left="1418" w:hanging="425"/>
      </w:pPr>
      <w:r>
        <w:t>I y III</w:t>
      </w:r>
    </w:p>
    <w:p w:rsidR="000D645B" w:rsidRPr="000D645B" w:rsidRDefault="000D645B" w:rsidP="000D645B">
      <w:pPr>
        <w:pStyle w:val="Prrafodelista"/>
        <w:numPr>
          <w:ilvl w:val="0"/>
          <w:numId w:val="29"/>
        </w:numPr>
        <w:ind w:left="1418" w:hanging="425"/>
      </w:pPr>
      <w:r w:rsidRPr="000D645B">
        <w:t>II y III</w:t>
      </w:r>
    </w:p>
    <w:p w:rsidR="000D645B" w:rsidRPr="000D645B" w:rsidRDefault="000D645B" w:rsidP="000D645B">
      <w:pPr>
        <w:pStyle w:val="Prrafodelista"/>
        <w:numPr>
          <w:ilvl w:val="0"/>
          <w:numId w:val="29"/>
        </w:numPr>
        <w:ind w:left="1418" w:hanging="425"/>
        <w:rPr>
          <w:highlight w:val="yellow"/>
        </w:rPr>
      </w:pPr>
      <w:r w:rsidRPr="000D645B">
        <w:rPr>
          <w:highlight w:val="yellow"/>
        </w:rPr>
        <w:t>I, II y III</w:t>
      </w:r>
    </w:p>
    <w:p w:rsidR="00894581" w:rsidRDefault="00894581"/>
    <w:p w:rsidR="00936DF8" w:rsidRDefault="00936DF8"/>
    <w:p w:rsidR="00936DF8" w:rsidRDefault="00936DF8"/>
    <w:p w:rsidR="00B651B6" w:rsidRDefault="00B651B6"/>
    <w:p w:rsidR="00B651B6" w:rsidRDefault="00B651B6"/>
    <w:p w:rsidR="00B651B6" w:rsidRDefault="00B651B6"/>
    <w:p w:rsidR="00B651B6" w:rsidRDefault="00B651B6"/>
    <w:p w:rsidR="00F66908" w:rsidRPr="00F35385" w:rsidRDefault="000D645B" w:rsidP="00F66908">
      <w:pPr>
        <w:pStyle w:val="Prrafodelista"/>
        <w:numPr>
          <w:ilvl w:val="0"/>
          <w:numId w:val="10"/>
        </w:numPr>
      </w:pPr>
      <w:r>
        <w:lastRenderedPageBreak/>
        <w:t xml:space="preserve">En cuanto al orden de prelación para el retiro </w:t>
      </w:r>
      <w:r w:rsidR="00147087">
        <w:t>como Excedente de Libre Disposición de lo</w:t>
      </w:r>
      <w:r>
        <w:t xml:space="preserve">s </w:t>
      </w:r>
      <w:r w:rsidR="00147087">
        <w:t>r</w:t>
      </w:r>
      <w:r>
        <w:t>ecursos del A</w:t>
      </w:r>
      <w:r w:rsidR="00147087">
        <w:t xml:space="preserve">horro </w:t>
      </w:r>
      <w:r>
        <w:t>P</w:t>
      </w:r>
      <w:r w:rsidR="00147087">
        <w:t xml:space="preserve">revisional </w:t>
      </w:r>
      <w:r>
        <w:t>V</w:t>
      </w:r>
      <w:r w:rsidR="00147087">
        <w:t>oluntario</w:t>
      </w:r>
      <w:r>
        <w:t xml:space="preserve"> Colectivo que ingresaron a la Cuenta Individual</w:t>
      </w:r>
      <w:r w:rsidR="00147087">
        <w:t>, se deberá actuar</w:t>
      </w:r>
      <w:r w:rsidR="00B651B6">
        <w:t>:</w:t>
      </w:r>
      <w:r w:rsidR="003C6011">
        <w:rPr>
          <w:rStyle w:val="Refdenotaalpie"/>
        </w:rPr>
        <w:footnoteReference w:id="3"/>
      </w:r>
    </w:p>
    <w:p w:rsidR="00147087" w:rsidRPr="00147087" w:rsidRDefault="00147087" w:rsidP="00147087">
      <w:pPr>
        <w:pStyle w:val="Prrafodelista"/>
        <w:numPr>
          <w:ilvl w:val="0"/>
          <w:numId w:val="5"/>
        </w:numPr>
        <w:ind w:left="1134" w:hanging="283"/>
      </w:pPr>
      <w:r w:rsidRPr="00147087">
        <w:t xml:space="preserve">Considerando en primer lugar, los </w:t>
      </w:r>
      <w:r w:rsidRPr="00147087">
        <w:t>últimos</w:t>
      </w:r>
      <w:r w:rsidRPr="00147087">
        <w:t xml:space="preserve"> aportes que ingresaron a la cuenta individual, y así sucesivamente, hasta los más </w:t>
      </w:r>
      <w:r w:rsidRPr="00147087">
        <w:t>antiguos</w:t>
      </w:r>
    </w:p>
    <w:p w:rsidR="00147087" w:rsidRDefault="00147087" w:rsidP="00147087">
      <w:pPr>
        <w:pStyle w:val="Prrafodelista"/>
        <w:numPr>
          <w:ilvl w:val="0"/>
          <w:numId w:val="5"/>
        </w:numPr>
        <w:ind w:left="1134" w:hanging="283"/>
      </w:pPr>
      <w:r>
        <w:t xml:space="preserve">Considerando en primer lugar, los aportes efectuados por el </w:t>
      </w:r>
      <w:r>
        <w:t>trabajador</w:t>
      </w:r>
      <w:r>
        <w:t xml:space="preserve">, y luego los efectuados por el </w:t>
      </w:r>
      <w:r>
        <w:t>empleador</w:t>
      </w:r>
      <w:r>
        <w:t xml:space="preserve">. </w:t>
      </w:r>
    </w:p>
    <w:p w:rsidR="00147087" w:rsidRDefault="00147087" w:rsidP="003C31BC">
      <w:pPr>
        <w:pStyle w:val="Prrafodelista"/>
        <w:numPr>
          <w:ilvl w:val="0"/>
          <w:numId w:val="5"/>
        </w:numPr>
        <w:ind w:left="1134" w:hanging="283"/>
      </w:pPr>
      <w:r>
        <w:t>C</w:t>
      </w:r>
      <w:r>
        <w:t>onsiderando</w:t>
      </w:r>
      <w:r>
        <w:t xml:space="preserve"> </w:t>
      </w:r>
      <w:r>
        <w:t xml:space="preserve">en primer lugar, los aportes </w:t>
      </w:r>
      <w:r>
        <w:t xml:space="preserve">efectuados por el empleador, y luego los efectuados por el trabajador. </w:t>
      </w:r>
    </w:p>
    <w:p w:rsidR="00894581" w:rsidRPr="00147087" w:rsidRDefault="00147087" w:rsidP="003C31BC">
      <w:pPr>
        <w:pStyle w:val="Prrafodelista"/>
        <w:numPr>
          <w:ilvl w:val="0"/>
          <w:numId w:val="5"/>
        </w:numPr>
        <w:ind w:left="1134" w:hanging="283"/>
        <w:rPr>
          <w:highlight w:val="yellow"/>
        </w:rPr>
      </w:pPr>
      <w:r w:rsidRPr="00147087">
        <w:rPr>
          <w:highlight w:val="yellow"/>
        </w:rPr>
        <w:t>C</w:t>
      </w:r>
      <w:r w:rsidRPr="00147087">
        <w:rPr>
          <w:highlight w:val="yellow"/>
        </w:rPr>
        <w:t>onsiderando</w:t>
      </w:r>
      <w:r w:rsidRPr="00147087">
        <w:rPr>
          <w:highlight w:val="yellow"/>
        </w:rPr>
        <w:t xml:space="preserve"> </w:t>
      </w:r>
      <w:r w:rsidRPr="00147087">
        <w:rPr>
          <w:highlight w:val="yellow"/>
        </w:rPr>
        <w:t>en primer lugar, los primeros aportes que ingresaron a la cuenta individual, y así sucesivamente, hasta los más nuevos</w:t>
      </w:r>
      <w:r w:rsidRPr="00147087">
        <w:rPr>
          <w:highlight w:val="yellow"/>
        </w:rPr>
        <w:t>.</w:t>
      </w:r>
    </w:p>
    <w:p w:rsidR="00785CBF" w:rsidRPr="00F35385" w:rsidRDefault="00F73159" w:rsidP="001022A4">
      <w:r>
        <w:t xml:space="preserve"> </w:t>
      </w:r>
    </w:p>
    <w:p w:rsidR="00596D17" w:rsidRDefault="007B7AA9" w:rsidP="00596D17">
      <w:pPr>
        <w:pStyle w:val="Prrafodelista"/>
        <w:numPr>
          <w:ilvl w:val="0"/>
          <w:numId w:val="10"/>
        </w:numPr>
      </w:pPr>
      <w:r>
        <w:t>La parte del excedente que cumpla con la característica de ser retirada libre de impuesto, podrá retirarse en parcialidades de 200 UTM por año hasta completar un total de 1200 UTM. Alternativamente, el afiliado podrá optar por acoger sus retiros a una exención máxima de 800 unidades tributarias mensuales durante</w:t>
      </w:r>
      <w:r>
        <w:t xml:space="preserve"> el siguiente tiempo</w:t>
      </w:r>
      <w:r w:rsidR="00B651B6">
        <w:t>…:</w:t>
      </w:r>
      <w:r w:rsidR="0086798B">
        <w:rPr>
          <w:rStyle w:val="Refdenotaalpie"/>
        </w:rPr>
        <w:footnoteReference w:id="4"/>
      </w:r>
      <w:r w:rsidR="00596D17" w:rsidRPr="00F35385">
        <w:t xml:space="preserve"> </w:t>
      </w:r>
    </w:p>
    <w:p w:rsidR="00F73159" w:rsidRDefault="000E0444" w:rsidP="00F73159">
      <w:pPr>
        <w:pStyle w:val="Prrafodelista"/>
        <w:numPr>
          <w:ilvl w:val="0"/>
          <w:numId w:val="6"/>
        </w:numPr>
        <w:ind w:left="1134" w:hanging="283"/>
      </w:pPr>
      <w:r>
        <w:t>Un mes</w:t>
      </w:r>
    </w:p>
    <w:p w:rsidR="00F73159" w:rsidRPr="000E0444" w:rsidRDefault="000E0444" w:rsidP="001C1012">
      <w:pPr>
        <w:pStyle w:val="Prrafodelista"/>
        <w:numPr>
          <w:ilvl w:val="0"/>
          <w:numId w:val="6"/>
        </w:numPr>
        <w:ind w:left="1134" w:hanging="283"/>
        <w:rPr>
          <w:highlight w:val="yellow"/>
        </w:rPr>
      </w:pPr>
      <w:r w:rsidRPr="000E0444">
        <w:rPr>
          <w:highlight w:val="yellow"/>
        </w:rPr>
        <w:t>Un año</w:t>
      </w:r>
    </w:p>
    <w:p w:rsidR="00B651B6" w:rsidRPr="000E0444" w:rsidRDefault="000E0444" w:rsidP="004F3254">
      <w:pPr>
        <w:pStyle w:val="Prrafodelista"/>
        <w:numPr>
          <w:ilvl w:val="0"/>
          <w:numId w:val="6"/>
        </w:numPr>
        <w:ind w:left="1134" w:hanging="283"/>
      </w:pPr>
      <w:r>
        <w:t>Cinco años</w:t>
      </w:r>
    </w:p>
    <w:p w:rsidR="004F3254" w:rsidRDefault="000E0444" w:rsidP="004F3254">
      <w:pPr>
        <w:pStyle w:val="Prrafodelista"/>
        <w:numPr>
          <w:ilvl w:val="0"/>
          <w:numId w:val="6"/>
        </w:numPr>
        <w:ind w:left="1134" w:hanging="283"/>
      </w:pPr>
      <w:r>
        <w:t>Seis años</w:t>
      </w:r>
    </w:p>
    <w:p w:rsidR="00894581" w:rsidRDefault="00894581" w:rsidP="00894581"/>
    <w:p w:rsidR="00894581" w:rsidRPr="00894581" w:rsidRDefault="000E0444" w:rsidP="003C31BC">
      <w:pPr>
        <w:pStyle w:val="Prrafodelista"/>
        <w:numPr>
          <w:ilvl w:val="0"/>
          <w:numId w:val="10"/>
        </w:numPr>
      </w:pPr>
      <w:r>
        <w:t xml:space="preserve">Cuando el afiliado con derecho a opción solicite por primera vez un pago de excedente de libre disposición, conjuntamente con la solicitud de pago debe indicar el régimen de tributación al que se va a acoger. </w:t>
      </w:r>
      <w:r>
        <w:t>Lo anterior, a fin de que la administradora informe de esta decisión a la siguiente institución</w:t>
      </w:r>
      <w:r w:rsidR="00163D4B" w:rsidRPr="00163D4B">
        <w:t>:</w:t>
      </w:r>
      <w:r w:rsidR="00894581">
        <w:rPr>
          <w:rStyle w:val="Refdenotaalpie"/>
        </w:rPr>
        <w:footnoteReference w:id="5"/>
      </w:r>
    </w:p>
    <w:p w:rsidR="00894581" w:rsidRPr="000E0444" w:rsidRDefault="000E0444" w:rsidP="00894581">
      <w:pPr>
        <w:pStyle w:val="Prrafodelista"/>
        <w:numPr>
          <w:ilvl w:val="0"/>
          <w:numId w:val="18"/>
        </w:numPr>
        <w:ind w:left="1134" w:hanging="141"/>
        <w:rPr>
          <w:highlight w:val="yellow"/>
        </w:rPr>
      </w:pPr>
      <w:r w:rsidRPr="000E0444">
        <w:rPr>
          <w:highlight w:val="yellow"/>
        </w:rPr>
        <w:t>Servicio de Impuestos Internos</w:t>
      </w:r>
    </w:p>
    <w:p w:rsidR="000E0444" w:rsidRPr="00551D77" w:rsidRDefault="000E0444" w:rsidP="000E0444">
      <w:pPr>
        <w:pStyle w:val="Prrafodelista"/>
        <w:numPr>
          <w:ilvl w:val="0"/>
          <w:numId w:val="18"/>
        </w:numPr>
        <w:ind w:left="1134" w:hanging="141"/>
      </w:pPr>
      <w:r>
        <w:t>Superintendencia de Pensiones</w:t>
      </w:r>
    </w:p>
    <w:p w:rsidR="00894581" w:rsidRPr="00551D77" w:rsidRDefault="000E0444" w:rsidP="00894581">
      <w:pPr>
        <w:pStyle w:val="Prrafodelista"/>
        <w:numPr>
          <w:ilvl w:val="0"/>
          <w:numId w:val="18"/>
        </w:numPr>
        <w:ind w:left="1134" w:hanging="141"/>
      </w:pPr>
      <w:r>
        <w:t>Comisión para el Mercado Financiero</w:t>
      </w:r>
    </w:p>
    <w:p w:rsidR="00894581" w:rsidRPr="000E0444" w:rsidRDefault="000E0444" w:rsidP="00894581">
      <w:pPr>
        <w:pStyle w:val="Prrafodelista"/>
        <w:numPr>
          <w:ilvl w:val="0"/>
          <w:numId w:val="18"/>
        </w:numPr>
        <w:ind w:left="1134" w:hanging="141"/>
      </w:pPr>
      <w:r w:rsidRPr="000E0444">
        <w:t>Superintendencia de Bancos e Instituciones Financieras</w:t>
      </w:r>
    </w:p>
    <w:p w:rsidR="00985DA0" w:rsidRDefault="000E0444" w:rsidP="00985DA0">
      <w:r>
        <w:t xml:space="preserve">  </w:t>
      </w:r>
    </w:p>
    <w:p w:rsidR="00163D4B" w:rsidRPr="00894581" w:rsidRDefault="000E0444" w:rsidP="0039350A">
      <w:pPr>
        <w:pStyle w:val="Prrafodelista"/>
        <w:numPr>
          <w:ilvl w:val="0"/>
          <w:numId w:val="10"/>
        </w:numPr>
      </w:pPr>
      <w:r w:rsidRPr="000E0444">
        <w:lastRenderedPageBreak/>
        <w:t xml:space="preserve">La Administradora deberá pagar </w:t>
      </w:r>
      <w:r>
        <w:t xml:space="preserve">el </w:t>
      </w:r>
      <w:r w:rsidRPr="000E0444">
        <w:t>beneficio</w:t>
      </w:r>
      <w:r>
        <w:t xml:space="preserve"> del Excedente de Libre Disposición</w:t>
      </w:r>
      <w:r w:rsidRPr="000E0444">
        <w:t xml:space="preserve">, a más tardar, dentro de los 10 días hábiles siguientes de suscrito el formulario </w:t>
      </w:r>
      <w:r w:rsidRPr="000E0444">
        <w:rPr>
          <w:i/>
        </w:rPr>
        <w:t>"Solicitud de Pago Excedente de Libre Disposición"</w:t>
      </w:r>
      <w:r w:rsidRPr="000E0444">
        <w:t>.</w:t>
      </w:r>
      <w:r>
        <w:t xml:space="preserve"> </w:t>
      </w:r>
      <w:r>
        <w:t>Si hubiere un traspaso de fondos pendiente, ya sea por pago de prima de renta vitalicia inmediata o diferida, este plazo se extenderá hasta el</w:t>
      </w:r>
      <w:r w:rsidR="00551D77">
        <w:t>:</w:t>
      </w:r>
      <w:r w:rsidR="00163D4B">
        <w:rPr>
          <w:rStyle w:val="Refdenotaalpie"/>
        </w:rPr>
        <w:footnoteReference w:id="6"/>
      </w:r>
    </w:p>
    <w:p w:rsidR="000E0444" w:rsidRPr="000E0444" w:rsidRDefault="000E0444" w:rsidP="00163D4B">
      <w:pPr>
        <w:pStyle w:val="Prrafodelista"/>
        <w:numPr>
          <w:ilvl w:val="0"/>
          <w:numId w:val="24"/>
        </w:numPr>
        <w:ind w:left="1134" w:hanging="141"/>
        <w:rPr>
          <w:highlight w:val="yellow"/>
        </w:rPr>
      </w:pPr>
      <w:r w:rsidRPr="000E0444">
        <w:rPr>
          <w:highlight w:val="yellow"/>
        </w:rPr>
        <w:t>D</w:t>
      </w:r>
      <w:r w:rsidRPr="000E0444">
        <w:rPr>
          <w:highlight w:val="yellow"/>
        </w:rPr>
        <w:t>écimo</w:t>
      </w:r>
      <w:r w:rsidRPr="000E0444">
        <w:rPr>
          <w:highlight w:val="yellow"/>
        </w:rPr>
        <w:t xml:space="preserve"> </w:t>
      </w:r>
      <w:r w:rsidRPr="000E0444">
        <w:rPr>
          <w:highlight w:val="yellow"/>
        </w:rPr>
        <w:t>día hábil siguiente al de efectuada dicha transferencia</w:t>
      </w:r>
      <w:r w:rsidRPr="000E0444">
        <w:rPr>
          <w:highlight w:val="yellow"/>
        </w:rPr>
        <w:t xml:space="preserve">. </w:t>
      </w:r>
    </w:p>
    <w:p w:rsidR="000E0444" w:rsidRDefault="000E0444" w:rsidP="00163D4B">
      <w:pPr>
        <w:pStyle w:val="Prrafodelista"/>
        <w:numPr>
          <w:ilvl w:val="0"/>
          <w:numId w:val="24"/>
        </w:numPr>
        <w:ind w:left="1134" w:hanging="141"/>
      </w:pPr>
      <w:r>
        <w:t xml:space="preserve">Décimo día </w:t>
      </w:r>
      <w:r>
        <w:t>corrido</w:t>
      </w:r>
      <w:r>
        <w:t xml:space="preserve"> siguiente al de efectuada dicha transferencia.</w:t>
      </w:r>
    </w:p>
    <w:p w:rsidR="00163D4B" w:rsidRPr="00F35385" w:rsidRDefault="000E0444" w:rsidP="00163D4B">
      <w:pPr>
        <w:pStyle w:val="Prrafodelista"/>
        <w:numPr>
          <w:ilvl w:val="0"/>
          <w:numId w:val="24"/>
        </w:numPr>
        <w:ind w:left="1134" w:hanging="141"/>
      </w:pPr>
      <w:r>
        <w:t>D</w:t>
      </w:r>
      <w:r>
        <w:t>ía hábil siguiente al de efectuada dicha transferencia.</w:t>
      </w:r>
    </w:p>
    <w:p w:rsidR="00163D4B" w:rsidRPr="000E0444" w:rsidRDefault="000E0444" w:rsidP="00163D4B">
      <w:pPr>
        <w:pStyle w:val="Prrafodelista"/>
        <w:numPr>
          <w:ilvl w:val="0"/>
          <w:numId w:val="24"/>
        </w:numPr>
        <w:ind w:left="1134" w:hanging="141"/>
      </w:pPr>
      <w:r>
        <w:t xml:space="preserve">Quinto </w:t>
      </w:r>
      <w:r w:rsidRPr="000E0444">
        <w:t>día hábil siguiente al de efectuada dicha transferencia.</w:t>
      </w:r>
    </w:p>
    <w:sectPr w:rsidR="00163D4B" w:rsidRPr="000E0444" w:rsidSect="001C1012">
      <w:headerReference w:type="default" r:id="rId8"/>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F2" w:rsidRDefault="004232F2" w:rsidP="00C03ECB">
      <w:pPr>
        <w:spacing w:after="0" w:line="240" w:lineRule="auto"/>
      </w:pPr>
      <w:r>
        <w:separator/>
      </w:r>
    </w:p>
  </w:endnote>
  <w:endnote w:type="continuationSeparator" w:id="0">
    <w:p w:rsidR="004232F2" w:rsidRDefault="004232F2" w:rsidP="00C0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F2" w:rsidRDefault="004232F2" w:rsidP="00C03ECB">
      <w:pPr>
        <w:spacing w:after="0" w:line="240" w:lineRule="auto"/>
      </w:pPr>
      <w:r>
        <w:separator/>
      </w:r>
    </w:p>
  </w:footnote>
  <w:footnote w:type="continuationSeparator" w:id="0">
    <w:p w:rsidR="004232F2" w:rsidRDefault="004232F2" w:rsidP="00C03ECB">
      <w:pPr>
        <w:spacing w:after="0" w:line="240" w:lineRule="auto"/>
      </w:pPr>
      <w:r>
        <w:continuationSeparator/>
      </w:r>
    </w:p>
  </w:footnote>
  <w:footnote w:id="1">
    <w:p w:rsidR="003C31BC" w:rsidRPr="000D645B" w:rsidRDefault="003C31BC" w:rsidP="000D645B">
      <w:pPr>
        <w:pStyle w:val="Textonotapie"/>
        <w:ind w:left="142" w:hanging="142"/>
        <w:rPr>
          <w:bCs/>
        </w:rPr>
      </w:pPr>
      <w:r>
        <w:rPr>
          <w:rStyle w:val="Refdenotaalpie"/>
        </w:rPr>
        <w:footnoteRef/>
      </w:r>
      <w:r>
        <w:t xml:space="preserve"> </w:t>
      </w:r>
      <w:r w:rsidR="000D645B" w:rsidRPr="000D645B">
        <w:rPr>
          <w:bCs/>
        </w:rPr>
        <w:t>Libro III, Título I, Letra G Otros Beneficios</w:t>
      </w:r>
      <w:r w:rsidR="000D645B">
        <w:rPr>
          <w:bCs/>
        </w:rPr>
        <w:t xml:space="preserve">. </w:t>
      </w:r>
      <w:r w:rsidR="000D645B" w:rsidRPr="000D645B">
        <w:rPr>
          <w:bCs/>
        </w:rPr>
        <w:t>Capítulo I. Excedente de libre disposición</w:t>
      </w:r>
      <w:r w:rsidR="000D645B">
        <w:rPr>
          <w:bCs/>
        </w:rPr>
        <w:t>. N° 2, de los requisitos.</w:t>
      </w:r>
    </w:p>
  </w:footnote>
  <w:footnote w:id="2">
    <w:p w:rsidR="003C31BC" w:rsidRPr="000D645B" w:rsidRDefault="003C31BC" w:rsidP="00936DF8">
      <w:pPr>
        <w:pStyle w:val="Textonotapie"/>
        <w:ind w:left="142" w:hanging="142"/>
        <w:rPr>
          <w:bCs/>
        </w:rPr>
      </w:pPr>
      <w:r>
        <w:rPr>
          <w:rStyle w:val="Refdenotaalpie"/>
        </w:rPr>
        <w:footnoteRef/>
      </w:r>
      <w:r>
        <w:t xml:space="preserve"> </w:t>
      </w:r>
      <w:r w:rsidR="000D645B" w:rsidRPr="000D645B">
        <w:rPr>
          <w:bCs/>
        </w:rPr>
        <w:t>Libro III, Título I, Letra G Otros Beneficios. Capítulo I. Excedente de libre disposición</w:t>
      </w:r>
      <w:r w:rsidR="000D645B" w:rsidRPr="000D645B">
        <w:rPr>
          <w:bCs/>
        </w:rPr>
        <w:t>. N° 3</w:t>
      </w:r>
      <w:r w:rsidR="000D645B" w:rsidRPr="000D645B">
        <w:rPr>
          <w:bCs/>
        </w:rPr>
        <w:t>, de</w:t>
      </w:r>
      <w:r w:rsidR="000D645B">
        <w:rPr>
          <w:bCs/>
        </w:rPr>
        <w:t xml:space="preserve">l </w:t>
      </w:r>
      <w:r w:rsidR="000D645B">
        <w:t>p</w:t>
      </w:r>
      <w:r w:rsidR="000D645B" w:rsidRPr="000D645B">
        <w:t>rocedimiento para determinar el derecho a retirar excedente de libre disposición</w:t>
      </w:r>
      <w:r w:rsidRPr="000D645B">
        <w:rPr>
          <w:bCs/>
        </w:rPr>
        <w:t>.</w:t>
      </w:r>
    </w:p>
  </w:footnote>
  <w:footnote w:id="3">
    <w:p w:rsidR="003C31BC" w:rsidRDefault="003C31BC" w:rsidP="00936DF8">
      <w:pPr>
        <w:pStyle w:val="Textonotapie"/>
        <w:ind w:left="142" w:hanging="142"/>
      </w:pPr>
      <w:r>
        <w:rPr>
          <w:rStyle w:val="Refdenotaalpie"/>
        </w:rPr>
        <w:footnoteRef/>
      </w:r>
      <w:r>
        <w:t xml:space="preserve"> </w:t>
      </w:r>
      <w:r w:rsidR="00147087" w:rsidRPr="000D645B">
        <w:rPr>
          <w:bCs/>
        </w:rPr>
        <w:t>Libro III, Título I, Letra G Otros Beneficios. Capítulo I. Excedente de libre disposición. N° 3, de</w:t>
      </w:r>
      <w:r w:rsidR="00147087">
        <w:rPr>
          <w:bCs/>
        </w:rPr>
        <w:t xml:space="preserve">l </w:t>
      </w:r>
      <w:r w:rsidR="00147087">
        <w:t>p</w:t>
      </w:r>
      <w:r w:rsidR="00147087" w:rsidRPr="000D645B">
        <w:t>rocedimiento para determinar el derecho a retirar excedente de libre disposición</w:t>
      </w:r>
      <w:r w:rsidR="00147087">
        <w:rPr>
          <w:bCs/>
        </w:rPr>
        <w:t>, letra d). Orden de Prelación</w:t>
      </w:r>
      <w:r>
        <w:t>.</w:t>
      </w:r>
    </w:p>
  </w:footnote>
  <w:footnote w:id="4">
    <w:p w:rsidR="003C31BC" w:rsidRDefault="003C31BC" w:rsidP="00936DF8">
      <w:pPr>
        <w:pStyle w:val="Textonotapie"/>
        <w:ind w:left="142" w:hanging="142"/>
      </w:pPr>
      <w:r w:rsidRPr="00936DF8">
        <w:rPr>
          <w:vertAlign w:val="superscript"/>
        </w:rPr>
        <w:footnoteRef/>
      </w:r>
      <w:r>
        <w:t xml:space="preserve"> </w:t>
      </w:r>
      <w:r w:rsidR="000E0444" w:rsidRPr="000D645B">
        <w:rPr>
          <w:bCs/>
        </w:rPr>
        <w:t xml:space="preserve">Libro III, Título I, Letra G Otros Beneficios. Capítulo I. Excedente de libre disposición. </w:t>
      </w:r>
      <w:r w:rsidR="000E0444" w:rsidRPr="000D645B">
        <w:rPr>
          <w:bCs/>
        </w:rPr>
        <w:t xml:space="preserve">N° </w:t>
      </w:r>
      <w:r w:rsidR="00340D33">
        <w:rPr>
          <w:bCs/>
        </w:rPr>
        <w:t>5</w:t>
      </w:r>
      <w:bookmarkStart w:id="0" w:name="_GoBack"/>
      <w:bookmarkEnd w:id="0"/>
      <w:r w:rsidR="000E0444" w:rsidRPr="000D645B">
        <w:rPr>
          <w:bCs/>
        </w:rPr>
        <w:t>, de</w:t>
      </w:r>
      <w:r w:rsidR="000E0444">
        <w:rPr>
          <w:bCs/>
        </w:rPr>
        <w:t xml:space="preserve"> </w:t>
      </w:r>
      <w:r w:rsidR="000E0444">
        <w:rPr>
          <w:bCs/>
        </w:rPr>
        <w:t>l</w:t>
      </w:r>
      <w:r w:rsidR="000E0444">
        <w:rPr>
          <w:bCs/>
        </w:rPr>
        <w:t>a solicitud de pago de Excedente</w:t>
      </w:r>
      <w:r>
        <w:t>.</w:t>
      </w:r>
    </w:p>
  </w:footnote>
  <w:footnote w:id="5">
    <w:p w:rsidR="003C31BC" w:rsidRPr="00163D4B" w:rsidRDefault="003C31BC" w:rsidP="00551D77">
      <w:pPr>
        <w:pStyle w:val="Textonotapie"/>
        <w:ind w:left="142" w:hanging="142"/>
      </w:pPr>
      <w:r>
        <w:rPr>
          <w:rStyle w:val="Refdenotaalpie"/>
        </w:rPr>
        <w:footnoteRef/>
      </w:r>
      <w:r>
        <w:t xml:space="preserve"> </w:t>
      </w:r>
      <w:r w:rsidR="000E0444" w:rsidRPr="000D645B">
        <w:rPr>
          <w:bCs/>
        </w:rPr>
        <w:t xml:space="preserve">Libro III, Título I, Letra G Otros Beneficios. Capítulo I. Excedente de libre disposición. N° </w:t>
      </w:r>
      <w:r w:rsidR="00340D33">
        <w:rPr>
          <w:bCs/>
        </w:rPr>
        <w:t>5</w:t>
      </w:r>
      <w:r w:rsidR="000E0444" w:rsidRPr="000D645B">
        <w:rPr>
          <w:bCs/>
        </w:rPr>
        <w:t>, de</w:t>
      </w:r>
      <w:r w:rsidR="000E0444">
        <w:rPr>
          <w:bCs/>
        </w:rPr>
        <w:t xml:space="preserve"> la solicitud de pago de Excedente</w:t>
      </w:r>
      <w:r>
        <w:t>.</w:t>
      </w:r>
    </w:p>
  </w:footnote>
  <w:footnote w:id="6">
    <w:p w:rsidR="003C31BC" w:rsidRPr="00163D4B" w:rsidRDefault="003C31BC" w:rsidP="00431647">
      <w:pPr>
        <w:pStyle w:val="Textonotapie"/>
        <w:ind w:left="142" w:hanging="142"/>
      </w:pPr>
      <w:r>
        <w:rPr>
          <w:rStyle w:val="Refdenotaalpie"/>
        </w:rPr>
        <w:footnoteRef/>
      </w:r>
      <w:r>
        <w:t xml:space="preserve"> </w:t>
      </w:r>
      <w:r w:rsidR="000E0444" w:rsidRPr="000D645B">
        <w:rPr>
          <w:bCs/>
        </w:rPr>
        <w:t xml:space="preserve">Libro III, Título I, Letra G Otros Beneficios. Capítulo I. Excedente de libre disposición. N° </w:t>
      </w:r>
      <w:r w:rsidR="000E0444">
        <w:rPr>
          <w:bCs/>
        </w:rPr>
        <w:t>7</w:t>
      </w:r>
      <w:r w:rsidR="000E0444" w:rsidRPr="000D645B">
        <w:rPr>
          <w:bCs/>
        </w:rPr>
        <w:t>, de</w:t>
      </w:r>
      <w:r w:rsidR="000E0444">
        <w:rPr>
          <w:bCs/>
        </w:rPr>
        <w:t xml:space="preserve"> la </w:t>
      </w:r>
      <w:r w:rsidR="000E0444">
        <w:rPr>
          <w:bCs/>
        </w:rPr>
        <w:t>fecha de pago del Excedente de Libre Disposición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1BC" w:rsidRDefault="003C31BC">
    <w:pPr>
      <w:pStyle w:val="Encabezado"/>
    </w:pPr>
    <w:r>
      <w:rPr>
        <w:noProof/>
        <w:lang w:eastAsia="es-CL"/>
      </w:rPr>
      <w:drawing>
        <wp:inline distT="0" distB="0" distL="0" distR="0">
          <wp:extent cx="747533" cy="447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cón Financiero..png"/>
                  <pic:cNvPicPr/>
                </pic:nvPicPr>
                <pic:blipFill>
                  <a:blip r:embed="rId1">
                    <a:extLst>
                      <a:ext uri="{28A0092B-C50C-407E-A947-70E740481C1C}">
                        <a14:useLocalDpi xmlns:a14="http://schemas.microsoft.com/office/drawing/2010/main" val="0"/>
                      </a:ext>
                    </a:extLst>
                  </a:blip>
                  <a:stretch>
                    <a:fillRect/>
                  </a:stretch>
                </pic:blipFill>
                <pic:spPr>
                  <a:xfrm>
                    <a:off x="0" y="0"/>
                    <a:ext cx="758701" cy="454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29E"/>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550041F"/>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83B6F8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0B3C9D"/>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D901243"/>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10A12E90"/>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2C076D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024F81"/>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0CC5C87"/>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21BB4616"/>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2AC6046"/>
    <w:multiLevelType w:val="hybridMultilevel"/>
    <w:tmpl w:val="143C8B9C"/>
    <w:lvl w:ilvl="0" w:tplc="621C4F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CA0A3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961825"/>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29957C5"/>
    <w:multiLevelType w:val="hybridMultilevel"/>
    <w:tmpl w:val="44387872"/>
    <w:lvl w:ilvl="0" w:tplc="BBE85B8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85D769C"/>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E464F6B"/>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42643079"/>
    <w:multiLevelType w:val="hybridMultilevel"/>
    <w:tmpl w:val="1EB6AF40"/>
    <w:lvl w:ilvl="0" w:tplc="5A666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E403AD"/>
    <w:multiLevelType w:val="hybridMultilevel"/>
    <w:tmpl w:val="785CCFBA"/>
    <w:lvl w:ilvl="0" w:tplc="F7A29B3A">
      <w:start w:val="1"/>
      <w:numFmt w:val="lowerLetter"/>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FE5602"/>
    <w:multiLevelType w:val="hybridMultilevel"/>
    <w:tmpl w:val="2362B2F6"/>
    <w:lvl w:ilvl="0" w:tplc="340A000F">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E9C732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EA72410"/>
    <w:multiLevelType w:val="hybridMultilevel"/>
    <w:tmpl w:val="715EAFBC"/>
    <w:lvl w:ilvl="0" w:tplc="313AFF0C">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53214B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9EE42DD"/>
    <w:multiLevelType w:val="hybridMultilevel"/>
    <w:tmpl w:val="9F04F4F4"/>
    <w:lvl w:ilvl="0" w:tplc="A9467966">
      <w:start w:val="1"/>
      <w:numFmt w:val="upperRoman"/>
      <w:lvlText w:val="%1."/>
      <w:lvlJc w:val="left"/>
      <w:pPr>
        <w:ind w:left="2138" w:hanging="72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23" w15:restartNumberingAfterBreak="0">
    <w:nsid w:val="654726EE"/>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68485BF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867071A"/>
    <w:multiLevelType w:val="multilevel"/>
    <w:tmpl w:val="63B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53916"/>
    <w:multiLevelType w:val="hybridMultilevel"/>
    <w:tmpl w:val="8B4C8004"/>
    <w:lvl w:ilvl="0" w:tplc="340A0013">
      <w:start w:val="1"/>
      <w:numFmt w:val="upperRoman"/>
      <w:lvlText w:val="%1."/>
      <w:lvlJc w:val="right"/>
      <w:pPr>
        <w:ind w:left="1487" w:hanging="360"/>
      </w:pPr>
    </w:lvl>
    <w:lvl w:ilvl="1" w:tplc="340A0019" w:tentative="1">
      <w:start w:val="1"/>
      <w:numFmt w:val="lowerLetter"/>
      <w:lvlText w:val="%2."/>
      <w:lvlJc w:val="left"/>
      <w:pPr>
        <w:ind w:left="2207" w:hanging="360"/>
      </w:pPr>
    </w:lvl>
    <w:lvl w:ilvl="2" w:tplc="340A001B" w:tentative="1">
      <w:start w:val="1"/>
      <w:numFmt w:val="lowerRoman"/>
      <w:lvlText w:val="%3."/>
      <w:lvlJc w:val="right"/>
      <w:pPr>
        <w:ind w:left="2927" w:hanging="180"/>
      </w:pPr>
    </w:lvl>
    <w:lvl w:ilvl="3" w:tplc="340A000F" w:tentative="1">
      <w:start w:val="1"/>
      <w:numFmt w:val="decimal"/>
      <w:lvlText w:val="%4."/>
      <w:lvlJc w:val="left"/>
      <w:pPr>
        <w:ind w:left="3647" w:hanging="360"/>
      </w:pPr>
    </w:lvl>
    <w:lvl w:ilvl="4" w:tplc="340A0019" w:tentative="1">
      <w:start w:val="1"/>
      <w:numFmt w:val="lowerLetter"/>
      <w:lvlText w:val="%5."/>
      <w:lvlJc w:val="left"/>
      <w:pPr>
        <w:ind w:left="4367" w:hanging="360"/>
      </w:pPr>
    </w:lvl>
    <w:lvl w:ilvl="5" w:tplc="340A001B" w:tentative="1">
      <w:start w:val="1"/>
      <w:numFmt w:val="lowerRoman"/>
      <w:lvlText w:val="%6."/>
      <w:lvlJc w:val="right"/>
      <w:pPr>
        <w:ind w:left="5087" w:hanging="180"/>
      </w:pPr>
    </w:lvl>
    <w:lvl w:ilvl="6" w:tplc="340A000F" w:tentative="1">
      <w:start w:val="1"/>
      <w:numFmt w:val="decimal"/>
      <w:lvlText w:val="%7."/>
      <w:lvlJc w:val="left"/>
      <w:pPr>
        <w:ind w:left="5807" w:hanging="360"/>
      </w:pPr>
    </w:lvl>
    <w:lvl w:ilvl="7" w:tplc="340A0019" w:tentative="1">
      <w:start w:val="1"/>
      <w:numFmt w:val="lowerLetter"/>
      <w:lvlText w:val="%8."/>
      <w:lvlJc w:val="left"/>
      <w:pPr>
        <w:ind w:left="6527" w:hanging="360"/>
      </w:pPr>
    </w:lvl>
    <w:lvl w:ilvl="8" w:tplc="340A001B" w:tentative="1">
      <w:start w:val="1"/>
      <w:numFmt w:val="lowerRoman"/>
      <w:lvlText w:val="%9."/>
      <w:lvlJc w:val="right"/>
      <w:pPr>
        <w:ind w:left="7247" w:hanging="180"/>
      </w:pPr>
    </w:lvl>
  </w:abstractNum>
  <w:abstractNum w:abstractNumId="27" w15:restartNumberingAfterBreak="0">
    <w:nsid w:val="7441264E"/>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81872DD"/>
    <w:multiLevelType w:val="hybridMultilevel"/>
    <w:tmpl w:val="9F60B55E"/>
    <w:lvl w:ilvl="0" w:tplc="34368C80">
      <w:start w:val="1"/>
      <w:numFmt w:val="upperRoman"/>
      <w:lvlText w:val="%1."/>
      <w:lvlJc w:val="left"/>
      <w:pPr>
        <w:ind w:left="1854" w:hanging="72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20"/>
  </w:num>
  <w:num w:numId="2">
    <w:abstractNumId w:val="2"/>
  </w:num>
  <w:num w:numId="3">
    <w:abstractNumId w:val="10"/>
  </w:num>
  <w:num w:numId="4">
    <w:abstractNumId w:val="12"/>
  </w:num>
  <w:num w:numId="5">
    <w:abstractNumId w:val="9"/>
  </w:num>
  <w:num w:numId="6">
    <w:abstractNumId w:val="11"/>
  </w:num>
  <w:num w:numId="7">
    <w:abstractNumId w:val="14"/>
  </w:num>
  <w:num w:numId="8">
    <w:abstractNumId w:val="24"/>
  </w:num>
  <w:num w:numId="9">
    <w:abstractNumId w:val="21"/>
  </w:num>
  <w:num w:numId="10">
    <w:abstractNumId w:val="18"/>
  </w:num>
  <w:num w:numId="11">
    <w:abstractNumId w:val="26"/>
  </w:num>
  <w:num w:numId="12">
    <w:abstractNumId w:val="6"/>
  </w:num>
  <w:num w:numId="13">
    <w:abstractNumId w:val="23"/>
  </w:num>
  <w:num w:numId="14">
    <w:abstractNumId w:val="13"/>
  </w:num>
  <w:num w:numId="15">
    <w:abstractNumId w:val="22"/>
  </w:num>
  <w:num w:numId="16">
    <w:abstractNumId w:val="25"/>
  </w:num>
  <w:num w:numId="17">
    <w:abstractNumId w:val="4"/>
  </w:num>
  <w:num w:numId="18">
    <w:abstractNumId w:val="27"/>
  </w:num>
  <w:num w:numId="19">
    <w:abstractNumId w:val="17"/>
  </w:num>
  <w:num w:numId="20">
    <w:abstractNumId w:val="16"/>
  </w:num>
  <w:num w:numId="21">
    <w:abstractNumId w:val="8"/>
  </w:num>
  <w:num w:numId="22">
    <w:abstractNumId w:val="1"/>
  </w:num>
  <w:num w:numId="23">
    <w:abstractNumId w:val="15"/>
  </w:num>
  <w:num w:numId="24">
    <w:abstractNumId w:val="19"/>
  </w:num>
  <w:num w:numId="25">
    <w:abstractNumId w:val="28"/>
  </w:num>
  <w:num w:numId="26">
    <w:abstractNumId w:val="5"/>
  </w:num>
  <w:num w:numId="27">
    <w:abstractNumId w:val="7"/>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B"/>
    <w:rsid w:val="00006F6B"/>
    <w:rsid w:val="0004269A"/>
    <w:rsid w:val="000D645B"/>
    <w:rsid w:val="000E0444"/>
    <w:rsid w:val="001022A4"/>
    <w:rsid w:val="00106BEC"/>
    <w:rsid w:val="00147087"/>
    <w:rsid w:val="00163D4B"/>
    <w:rsid w:val="001874A9"/>
    <w:rsid w:val="001C1012"/>
    <w:rsid w:val="002011A4"/>
    <w:rsid w:val="00254C2F"/>
    <w:rsid w:val="00340D33"/>
    <w:rsid w:val="0037446D"/>
    <w:rsid w:val="003B5B05"/>
    <w:rsid w:val="003C31BC"/>
    <w:rsid w:val="003C5ABD"/>
    <w:rsid w:val="003C6011"/>
    <w:rsid w:val="003E49F2"/>
    <w:rsid w:val="004232F2"/>
    <w:rsid w:val="00431647"/>
    <w:rsid w:val="004425F9"/>
    <w:rsid w:val="004F3254"/>
    <w:rsid w:val="00513EBA"/>
    <w:rsid w:val="0055129E"/>
    <w:rsid w:val="00551D77"/>
    <w:rsid w:val="00596D17"/>
    <w:rsid w:val="005B423E"/>
    <w:rsid w:val="00610CA1"/>
    <w:rsid w:val="00634B3C"/>
    <w:rsid w:val="006A3F26"/>
    <w:rsid w:val="006D64B8"/>
    <w:rsid w:val="00704A8F"/>
    <w:rsid w:val="00745803"/>
    <w:rsid w:val="00785CBF"/>
    <w:rsid w:val="007B7AA9"/>
    <w:rsid w:val="00836AA9"/>
    <w:rsid w:val="008543A5"/>
    <w:rsid w:val="0086798B"/>
    <w:rsid w:val="00876CAE"/>
    <w:rsid w:val="00894581"/>
    <w:rsid w:val="00896CD3"/>
    <w:rsid w:val="00936DF8"/>
    <w:rsid w:val="00985DA0"/>
    <w:rsid w:val="00997283"/>
    <w:rsid w:val="009F49AC"/>
    <w:rsid w:val="00A5256B"/>
    <w:rsid w:val="00A70A1B"/>
    <w:rsid w:val="00A90532"/>
    <w:rsid w:val="00AA0D3C"/>
    <w:rsid w:val="00B17B0A"/>
    <w:rsid w:val="00B27E3A"/>
    <w:rsid w:val="00B60AD5"/>
    <w:rsid w:val="00B651B6"/>
    <w:rsid w:val="00B75C63"/>
    <w:rsid w:val="00C03ECB"/>
    <w:rsid w:val="00C41373"/>
    <w:rsid w:val="00C77780"/>
    <w:rsid w:val="00C82222"/>
    <w:rsid w:val="00CB11DC"/>
    <w:rsid w:val="00CD59D7"/>
    <w:rsid w:val="00CD6426"/>
    <w:rsid w:val="00D65F57"/>
    <w:rsid w:val="00DC3081"/>
    <w:rsid w:val="00E16558"/>
    <w:rsid w:val="00E42F4F"/>
    <w:rsid w:val="00E81B52"/>
    <w:rsid w:val="00E94980"/>
    <w:rsid w:val="00F35385"/>
    <w:rsid w:val="00F37689"/>
    <w:rsid w:val="00F52E79"/>
    <w:rsid w:val="00F66908"/>
    <w:rsid w:val="00F73159"/>
    <w:rsid w:val="00F75FA3"/>
    <w:rsid w:val="00F928FB"/>
    <w:rsid w:val="00FF50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4259E-FC89-44AD-9F4C-BB0E0F0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81B5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163D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3E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unhideWhenUsed/>
    <w:rsid w:val="00C03ECB"/>
    <w:pPr>
      <w:spacing w:after="0" w:line="240" w:lineRule="auto"/>
    </w:pPr>
    <w:rPr>
      <w:sz w:val="20"/>
      <w:szCs w:val="20"/>
    </w:rPr>
  </w:style>
  <w:style w:type="character" w:customStyle="1" w:styleId="TextonotapieCar">
    <w:name w:val="Texto nota pie Car"/>
    <w:basedOn w:val="Fuentedeprrafopredeter"/>
    <w:link w:val="Textonotapie"/>
    <w:uiPriority w:val="99"/>
    <w:rsid w:val="00C03ECB"/>
    <w:rPr>
      <w:sz w:val="20"/>
      <w:szCs w:val="20"/>
    </w:rPr>
  </w:style>
  <w:style w:type="character" w:styleId="Refdenotaalpie">
    <w:name w:val="footnote reference"/>
    <w:basedOn w:val="Fuentedeprrafopredeter"/>
    <w:uiPriority w:val="99"/>
    <w:semiHidden/>
    <w:unhideWhenUsed/>
    <w:rsid w:val="00C03ECB"/>
    <w:rPr>
      <w:vertAlign w:val="superscript"/>
    </w:rPr>
  </w:style>
  <w:style w:type="paragraph" w:styleId="Prrafodelista">
    <w:name w:val="List Paragraph"/>
    <w:basedOn w:val="Normal"/>
    <w:uiPriority w:val="34"/>
    <w:qFormat/>
    <w:rsid w:val="00C03ECB"/>
    <w:pPr>
      <w:ind w:left="720"/>
      <w:contextualSpacing/>
    </w:pPr>
  </w:style>
  <w:style w:type="paragraph" w:customStyle="1" w:styleId="margen-abajo-xs">
    <w:name w:val="margen-abajo-xs"/>
    <w:basedOn w:val="Normal"/>
    <w:rsid w:val="004F32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C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012"/>
  </w:style>
  <w:style w:type="paragraph" w:styleId="Piedepgina">
    <w:name w:val="footer"/>
    <w:basedOn w:val="Normal"/>
    <w:link w:val="PiedepginaCar"/>
    <w:uiPriority w:val="99"/>
    <w:unhideWhenUsed/>
    <w:rsid w:val="001C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012"/>
  </w:style>
  <w:style w:type="character" w:customStyle="1" w:styleId="Ttulo2Car">
    <w:name w:val="Título 2 Car"/>
    <w:basedOn w:val="Fuentedeprrafopredeter"/>
    <w:link w:val="Ttulo2"/>
    <w:uiPriority w:val="9"/>
    <w:rsid w:val="00E81B52"/>
    <w:rPr>
      <w:rFonts w:ascii="Times New Roman" w:eastAsia="Times New Roman" w:hAnsi="Times New Roman" w:cs="Times New Roman"/>
      <w:b/>
      <w:bCs/>
      <w:sz w:val="36"/>
      <w:szCs w:val="36"/>
      <w:lang w:eastAsia="es-CL"/>
    </w:rPr>
  </w:style>
  <w:style w:type="character" w:styleId="nfasis">
    <w:name w:val="Emphasis"/>
    <w:basedOn w:val="Fuentedeprrafopredeter"/>
    <w:uiPriority w:val="20"/>
    <w:qFormat/>
    <w:rsid w:val="0037446D"/>
    <w:rPr>
      <w:i/>
      <w:iCs/>
    </w:rPr>
  </w:style>
  <w:style w:type="character" w:customStyle="1" w:styleId="pv-branch">
    <w:name w:val="pv-branch"/>
    <w:basedOn w:val="Fuentedeprrafopredeter"/>
    <w:rsid w:val="00163D4B"/>
  </w:style>
  <w:style w:type="paragraph" w:customStyle="1" w:styleId="epigrafe">
    <w:name w:val="epigrafe"/>
    <w:basedOn w:val="Normal"/>
    <w:rsid w:val="00163D4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163D4B"/>
    <w:rPr>
      <w:rFonts w:asciiTheme="majorHAnsi" w:eastAsiaTheme="majorEastAsia" w:hAnsiTheme="majorHAnsi" w:cstheme="majorBidi"/>
      <w:color w:val="243F60" w:themeColor="accent1" w:themeShade="7F"/>
      <w:sz w:val="24"/>
      <w:szCs w:val="24"/>
    </w:rPr>
  </w:style>
  <w:style w:type="character" w:styleId="Textoennegrita">
    <w:name w:val="Strong"/>
    <w:basedOn w:val="Fuentedeprrafopredeter"/>
    <w:uiPriority w:val="22"/>
    <w:qFormat/>
    <w:rsid w:val="00F928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356">
      <w:bodyDiv w:val="1"/>
      <w:marLeft w:val="0"/>
      <w:marRight w:val="0"/>
      <w:marTop w:val="0"/>
      <w:marBottom w:val="0"/>
      <w:divBdr>
        <w:top w:val="none" w:sz="0" w:space="0" w:color="auto"/>
        <w:left w:val="none" w:sz="0" w:space="0" w:color="auto"/>
        <w:bottom w:val="none" w:sz="0" w:space="0" w:color="auto"/>
        <w:right w:val="none" w:sz="0" w:space="0" w:color="auto"/>
      </w:divBdr>
    </w:div>
    <w:div w:id="25376018">
      <w:bodyDiv w:val="1"/>
      <w:marLeft w:val="0"/>
      <w:marRight w:val="0"/>
      <w:marTop w:val="0"/>
      <w:marBottom w:val="0"/>
      <w:divBdr>
        <w:top w:val="none" w:sz="0" w:space="0" w:color="auto"/>
        <w:left w:val="none" w:sz="0" w:space="0" w:color="auto"/>
        <w:bottom w:val="none" w:sz="0" w:space="0" w:color="auto"/>
        <w:right w:val="none" w:sz="0" w:space="0" w:color="auto"/>
      </w:divBdr>
    </w:div>
    <w:div w:id="41250667">
      <w:bodyDiv w:val="1"/>
      <w:marLeft w:val="0"/>
      <w:marRight w:val="0"/>
      <w:marTop w:val="0"/>
      <w:marBottom w:val="0"/>
      <w:divBdr>
        <w:top w:val="none" w:sz="0" w:space="0" w:color="auto"/>
        <w:left w:val="none" w:sz="0" w:space="0" w:color="auto"/>
        <w:bottom w:val="none" w:sz="0" w:space="0" w:color="auto"/>
        <w:right w:val="none" w:sz="0" w:space="0" w:color="auto"/>
      </w:divBdr>
      <w:divsChild>
        <w:div w:id="768090233">
          <w:marLeft w:val="0"/>
          <w:marRight w:val="0"/>
          <w:marTop w:val="0"/>
          <w:marBottom w:val="0"/>
          <w:divBdr>
            <w:top w:val="none" w:sz="0" w:space="0" w:color="auto"/>
            <w:left w:val="none" w:sz="0" w:space="0" w:color="auto"/>
            <w:bottom w:val="none" w:sz="0" w:space="0" w:color="auto"/>
            <w:right w:val="none" w:sz="0" w:space="0" w:color="auto"/>
          </w:divBdr>
        </w:div>
        <w:div w:id="1373650631">
          <w:marLeft w:val="0"/>
          <w:marRight w:val="0"/>
          <w:marTop w:val="0"/>
          <w:marBottom w:val="0"/>
          <w:divBdr>
            <w:top w:val="none" w:sz="0" w:space="0" w:color="auto"/>
            <w:left w:val="none" w:sz="0" w:space="0" w:color="auto"/>
            <w:bottom w:val="none" w:sz="0" w:space="0" w:color="auto"/>
            <w:right w:val="none" w:sz="0" w:space="0" w:color="auto"/>
          </w:divBdr>
        </w:div>
      </w:divsChild>
    </w:div>
    <w:div w:id="64038470">
      <w:bodyDiv w:val="1"/>
      <w:marLeft w:val="0"/>
      <w:marRight w:val="0"/>
      <w:marTop w:val="0"/>
      <w:marBottom w:val="0"/>
      <w:divBdr>
        <w:top w:val="none" w:sz="0" w:space="0" w:color="auto"/>
        <w:left w:val="none" w:sz="0" w:space="0" w:color="auto"/>
        <w:bottom w:val="none" w:sz="0" w:space="0" w:color="auto"/>
        <w:right w:val="none" w:sz="0" w:space="0" w:color="auto"/>
      </w:divBdr>
    </w:div>
    <w:div w:id="92239482">
      <w:bodyDiv w:val="1"/>
      <w:marLeft w:val="0"/>
      <w:marRight w:val="0"/>
      <w:marTop w:val="0"/>
      <w:marBottom w:val="0"/>
      <w:divBdr>
        <w:top w:val="none" w:sz="0" w:space="0" w:color="auto"/>
        <w:left w:val="none" w:sz="0" w:space="0" w:color="auto"/>
        <w:bottom w:val="none" w:sz="0" w:space="0" w:color="auto"/>
        <w:right w:val="none" w:sz="0" w:space="0" w:color="auto"/>
      </w:divBdr>
    </w:div>
    <w:div w:id="358705128">
      <w:bodyDiv w:val="1"/>
      <w:marLeft w:val="0"/>
      <w:marRight w:val="0"/>
      <w:marTop w:val="0"/>
      <w:marBottom w:val="0"/>
      <w:divBdr>
        <w:top w:val="none" w:sz="0" w:space="0" w:color="auto"/>
        <w:left w:val="none" w:sz="0" w:space="0" w:color="auto"/>
        <w:bottom w:val="none" w:sz="0" w:space="0" w:color="auto"/>
        <w:right w:val="none" w:sz="0" w:space="0" w:color="auto"/>
      </w:divBdr>
    </w:div>
    <w:div w:id="509413031">
      <w:bodyDiv w:val="1"/>
      <w:marLeft w:val="0"/>
      <w:marRight w:val="0"/>
      <w:marTop w:val="0"/>
      <w:marBottom w:val="0"/>
      <w:divBdr>
        <w:top w:val="none" w:sz="0" w:space="0" w:color="auto"/>
        <w:left w:val="none" w:sz="0" w:space="0" w:color="auto"/>
        <w:bottom w:val="none" w:sz="0" w:space="0" w:color="auto"/>
        <w:right w:val="none" w:sz="0" w:space="0" w:color="auto"/>
      </w:divBdr>
    </w:div>
    <w:div w:id="603147872">
      <w:bodyDiv w:val="1"/>
      <w:marLeft w:val="0"/>
      <w:marRight w:val="0"/>
      <w:marTop w:val="0"/>
      <w:marBottom w:val="0"/>
      <w:divBdr>
        <w:top w:val="none" w:sz="0" w:space="0" w:color="auto"/>
        <w:left w:val="none" w:sz="0" w:space="0" w:color="auto"/>
        <w:bottom w:val="none" w:sz="0" w:space="0" w:color="auto"/>
        <w:right w:val="none" w:sz="0" w:space="0" w:color="auto"/>
      </w:divBdr>
    </w:div>
    <w:div w:id="702439123">
      <w:bodyDiv w:val="1"/>
      <w:marLeft w:val="0"/>
      <w:marRight w:val="0"/>
      <w:marTop w:val="0"/>
      <w:marBottom w:val="0"/>
      <w:divBdr>
        <w:top w:val="none" w:sz="0" w:space="0" w:color="auto"/>
        <w:left w:val="none" w:sz="0" w:space="0" w:color="auto"/>
        <w:bottom w:val="none" w:sz="0" w:space="0" w:color="auto"/>
        <w:right w:val="none" w:sz="0" w:space="0" w:color="auto"/>
      </w:divBdr>
    </w:div>
    <w:div w:id="722099522">
      <w:bodyDiv w:val="1"/>
      <w:marLeft w:val="0"/>
      <w:marRight w:val="0"/>
      <w:marTop w:val="0"/>
      <w:marBottom w:val="0"/>
      <w:divBdr>
        <w:top w:val="none" w:sz="0" w:space="0" w:color="auto"/>
        <w:left w:val="none" w:sz="0" w:space="0" w:color="auto"/>
        <w:bottom w:val="none" w:sz="0" w:space="0" w:color="auto"/>
        <w:right w:val="none" w:sz="0" w:space="0" w:color="auto"/>
      </w:divBdr>
    </w:div>
    <w:div w:id="790053248">
      <w:bodyDiv w:val="1"/>
      <w:marLeft w:val="0"/>
      <w:marRight w:val="0"/>
      <w:marTop w:val="0"/>
      <w:marBottom w:val="0"/>
      <w:divBdr>
        <w:top w:val="none" w:sz="0" w:space="0" w:color="auto"/>
        <w:left w:val="none" w:sz="0" w:space="0" w:color="auto"/>
        <w:bottom w:val="none" w:sz="0" w:space="0" w:color="auto"/>
        <w:right w:val="none" w:sz="0" w:space="0" w:color="auto"/>
      </w:divBdr>
    </w:div>
    <w:div w:id="795876191">
      <w:bodyDiv w:val="1"/>
      <w:marLeft w:val="0"/>
      <w:marRight w:val="0"/>
      <w:marTop w:val="0"/>
      <w:marBottom w:val="0"/>
      <w:divBdr>
        <w:top w:val="none" w:sz="0" w:space="0" w:color="auto"/>
        <w:left w:val="none" w:sz="0" w:space="0" w:color="auto"/>
        <w:bottom w:val="none" w:sz="0" w:space="0" w:color="auto"/>
        <w:right w:val="none" w:sz="0" w:space="0" w:color="auto"/>
      </w:divBdr>
      <w:divsChild>
        <w:div w:id="2016690215">
          <w:marLeft w:val="0"/>
          <w:marRight w:val="0"/>
          <w:marTop w:val="0"/>
          <w:marBottom w:val="0"/>
          <w:divBdr>
            <w:top w:val="none" w:sz="0" w:space="0" w:color="auto"/>
            <w:left w:val="none" w:sz="0" w:space="0" w:color="auto"/>
            <w:bottom w:val="none" w:sz="0" w:space="0" w:color="auto"/>
            <w:right w:val="none" w:sz="0" w:space="0" w:color="auto"/>
          </w:divBdr>
        </w:div>
        <w:div w:id="944926025">
          <w:marLeft w:val="0"/>
          <w:marRight w:val="0"/>
          <w:marTop w:val="0"/>
          <w:marBottom w:val="0"/>
          <w:divBdr>
            <w:top w:val="none" w:sz="0" w:space="0" w:color="auto"/>
            <w:left w:val="none" w:sz="0" w:space="0" w:color="auto"/>
            <w:bottom w:val="none" w:sz="0" w:space="0" w:color="auto"/>
            <w:right w:val="none" w:sz="0" w:space="0" w:color="auto"/>
          </w:divBdr>
        </w:div>
      </w:divsChild>
    </w:div>
    <w:div w:id="896748178">
      <w:bodyDiv w:val="1"/>
      <w:marLeft w:val="0"/>
      <w:marRight w:val="0"/>
      <w:marTop w:val="0"/>
      <w:marBottom w:val="0"/>
      <w:divBdr>
        <w:top w:val="none" w:sz="0" w:space="0" w:color="auto"/>
        <w:left w:val="none" w:sz="0" w:space="0" w:color="auto"/>
        <w:bottom w:val="none" w:sz="0" w:space="0" w:color="auto"/>
        <w:right w:val="none" w:sz="0" w:space="0" w:color="auto"/>
      </w:divBdr>
      <w:divsChild>
        <w:div w:id="375472972">
          <w:marLeft w:val="0"/>
          <w:marRight w:val="0"/>
          <w:marTop w:val="0"/>
          <w:marBottom w:val="0"/>
          <w:divBdr>
            <w:top w:val="none" w:sz="0" w:space="0" w:color="auto"/>
            <w:left w:val="none" w:sz="0" w:space="0" w:color="auto"/>
            <w:bottom w:val="none" w:sz="0" w:space="0" w:color="auto"/>
            <w:right w:val="none" w:sz="0" w:space="0" w:color="auto"/>
          </w:divBdr>
        </w:div>
        <w:div w:id="1500854297">
          <w:marLeft w:val="0"/>
          <w:marRight w:val="0"/>
          <w:marTop w:val="0"/>
          <w:marBottom w:val="0"/>
          <w:divBdr>
            <w:top w:val="none" w:sz="0" w:space="0" w:color="auto"/>
            <w:left w:val="none" w:sz="0" w:space="0" w:color="auto"/>
            <w:bottom w:val="none" w:sz="0" w:space="0" w:color="auto"/>
            <w:right w:val="none" w:sz="0" w:space="0" w:color="auto"/>
          </w:divBdr>
        </w:div>
      </w:divsChild>
    </w:div>
    <w:div w:id="938413576">
      <w:bodyDiv w:val="1"/>
      <w:marLeft w:val="0"/>
      <w:marRight w:val="0"/>
      <w:marTop w:val="0"/>
      <w:marBottom w:val="0"/>
      <w:divBdr>
        <w:top w:val="none" w:sz="0" w:space="0" w:color="auto"/>
        <w:left w:val="none" w:sz="0" w:space="0" w:color="auto"/>
        <w:bottom w:val="none" w:sz="0" w:space="0" w:color="auto"/>
        <w:right w:val="none" w:sz="0" w:space="0" w:color="auto"/>
      </w:divBdr>
    </w:div>
    <w:div w:id="1523476732">
      <w:bodyDiv w:val="1"/>
      <w:marLeft w:val="0"/>
      <w:marRight w:val="0"/>
      <w:marTop w:val="0"/>
      <w:marBottom w:val="0"/>
      <w:divBdr>
        <w:top w:val="none" w:sz="0" w:space="0" w:color="auto"/>
        <w:left w:val="none" w:sz="0" w:space="0" w:color="auto"/>
        <w:bottom w:val="none" w:sz="0" w:space="0" w:color="auto"/>
        <w:right w:val="none" w:sz="0" w:space="0" w:color="auto"/>
      </w:divBdr>
      <w:divsChild>
        <w:div w:id="317224648">
          <w:marLeft w:val="0"/>
          <w:marRight w:val="0"/>
          <w:marTop w:val="0"/>
          <w:marBottom w:val="0"/>
          <w:divBdr>
            <w:top w:val="none" w:sz="0" w:space="0" w:color="auto"/>
            <w:left w:val="none" w:sz="0" w:space="0" w:color="auto"/>
            <w:bottom w:val="none" w:sz="0" w:space="0" w:color="auto"/>
            <w:right w:val="none" w:sz="0" w:space="0" w:color="auto"/>
          </w:divBdr>
        </w:div>
        <w:div w:id="160048079">
          <w:marLeft w:val="0"/>
          <w:marRight w:val="0"/>
          <w:marTop w:val="0"/>
          <w:marBottom w:val="0"/>
          <w:divBdr>
            <w:top w:val="none" w:sz="0" w:space="0" w:color="auto"/>
            <w:left w:val="none" w:sz="0" w:space="0" w:color="auto"/>
            <w:bottom w:val="none" w:sz="0" w:space="0" w:color="auto"/>
            <w:right w:val="none" w:sz="0" w:space="0" w:color="auto"/>
          </w:divBdr>
        </w:div>
      </w:divsChild>
    </w:div>
    <w:div w:id="1527521394">
      <w:bodyDiv w:val="1"/>
      <w:marLeft w:val="0"/>
      <w:marRight w:val="0"/>
      <w:marTop w:val="0"/>
      <w:marBottom w:val="0"/>
      <w:divBdr>
        <w:top w:val="none" w:sz="0" w:space="0" w:color="auto"/>
        <w:left w:val="none" w:sz="0" w:space="0" w:color="auto"/>
        <w:bottom w:val="none" w:sz="0" w:space="0" w:color="auto"/>
        <w:right w:val="none" w:sz="0" w:space="0" w:color="auto"/>
      </w:divBdr>
    </w:div>
    <w:div w:id="1644626854">
      <w:bodyDiv w:val="1"/>
      <w:marLeft w:val="0"/>
      <w:marRight w:val="0"/>
      <w:marTop w:val="0"/>
      <w:marBottom w:val="0"/>
      <w:divBdr>
        <w:top w:val="none" w:sz="0" w:space="0" w:color="auto"/>
        <w:left w:val="none" w:sz="0" w:space="0" w:color="auto"/>
        <w:bottom w:val="none" w:sz="0" w:space="0" w:color="auto"/>
        <w:right w:val="none" w:sz="0" w:space="0" w:color="auto"/>
      </w:divBdr>
    </w:div>
    <w:div w:id="1713849357">
      <w:bodyDiv w:val="1"/>
      <w:marLeft w:val="0"/>
      <w:marRight w:val="0"/>
      <w:marTop w:val="0"/>
      <w:marBottom w:val="0"/>
      <w:divBdr>
        <w:top w:val="none" w:sz="0" w:space="0" w:color="auto"/>
        <w:left w:val="none" w:sz="0" w:space="0" w:color="auto"/>
        <w:bottom w:val="none" w:sz="0" w:space="0" w:color="auto"/>
        <w:right w:val="none" w:sz="0" w:space="0" w:color="auto"/>
      </w:divBdr>
    </w:div>
    <w:div w:id="1718552320">
      <w:bodyDiv w:val="1"/>
      <w:marLeft w:val="0"/>
      <w:marRight w:val="0"/>
      <w:marTop w:val="0"/>
      <w:marBottom w:val="0"/>
      <w:divBdr>
        <w:top w:val="none" w:sz="0" w:space="0" w:color="auto"/>
        <w:left w:val="none" w:sz="0" w:space="0" w:color="auto"/>
        <w:bottom w:val="none" w:sz="0" w:space="0" w:color="auto"/>
        <w:right w:val="none" w:sz="0" w:space="0" w:color="auto"/>
      </w:divBdr>
    </w:div>
    <w:div w:id="1726491423">
      <w:bodyDiv w:val="1"/>
      <w:marLeft w:val="0"/>
      <w:marRight w:val="0"/>
      <w:marTop w:val="0"/>
      <w:marBottom w:val="0"/>
      <w:divBdr>
        <w:top w:val="none" w:sz="0" w:space="0" w:color="auto"/>
        <w:left w:val="none" w:sz="0" w:space="0" w:color="auto"/>
        <w:bottom w:val="none" w:sz="0" w:space="0" w:color="auto"/>
        <w:right w:val="none" w:sz="0" w:space="0" w:color="auto"/>
      </w:divBdr>
    </w:div>
    <w:div w:id="1736782472">
      <w:bodyDiv w:val="1"/>
      <w:marLeft w:val="0"/>
      <w:marRight w:val="0"/>
      <w:marTop w:val="0"/>
      <w:marBottom w:val="0"/>
      <w:divBdr>
        <w:top w:val="none" w:sz="0" w:space="0" w:color="auto"/>
        <w:left w:val="none" w:sz="0" w:space="0" w:color="auto"/>
        <w:bottom w:val="none" w:sz="0" w:space="0" w:color="auto"/>
        <w:right w:val="none" w:sz="0" w:space="0" w:color="auto"/>
      </w:divBdr>
      <w:divsChild>
        <w:div w:id="2126464109">
          <w:marLeft w:val="0"/>
          <w:marRight w:val="0"/>
          <w:marTop w:val="0"/>
          <w:marBottom w:val="0"/>
          <w:divBdr>
            <w:top w:val="none" w:sz="0" w:space="0" w:color="auto"/>
            <w:left w:val="none" w:sz="0" w:space="0" w:color="auto"/>
            <w:bottom w:val="none" w:sz="0" w:space="0" w:color="auto"/>
            <w:right w:val="none" w:sz="0" w:space="0" w:color="auto"/>
          </w:divBdr>
        </w:div>
        <w:div w:id="764884725">
          <w:marLeft w:val="0"/>
          <w:marRight w:val="0"/>
          <w:marTop w:val="0"/>
          <w:marBottom w:val="0"/>
          <w:divBdr>
            <w:top w:val="none" w:sz="0" w:space="0" w:color="auto"/>
            <w:left w:val="none" w:sz="0" w:space="0" w:color="auto"/>
            <w:bottom w:val="none" w:sz="0" w:space="0" w:color="auto"/>
            <w:right w:val="none" w:sz="0" w:space="0" w:color="auto"/>
          </w:divBdr>
        </w:div>
      </w:divsChild>
    </w:div>
    <w:div w:id="1847745688">
      <w:bodyDiv w:val="1"/>
      <w:marLeft w:val="0"/>
      <w:marRight w:val="0"/>
      <w:marTop w:val="0"/>
      <w:marBottom w:val="0"/>
      <w:divBdr>
        <w:top w:val="none" w:sz="0" w:space="0" w:color="auto"/>
        <w:left w:val="none" w:sz="0" w:space="0" w:color="auto"/>
        <w:bottom w:val="none" w:sz="0" w:space="0" w:color="auto"/>
        <w:right w:val="none" w:sz="0" w:space="0" w:color="auto"/>
      </w:divBdr>
    </w:div>
    <w:div w:id="1870683618">
      <w:bodyDiv w:val="1"/>
      <w:marLeft w:val="0"/>
      <w:marRight w:val="0"/>
      <w:marTop w:val="0"/>
      <w:marBottom w:val="0"/>
      <w:divBdr>
        <w:top w:val="none" w:sz="0" w:space="0" w:color="auto"/>
        <w:left w:val="none" w:sz="0" w:space="0" w:color="auto"/>
        <w:bottom w:val="none" w:sz="0" w:space="0" w:color="auto"/>
        <w:right w:val="none" w:sz="0" w:space="0" w:color="auto"/>
      </w:divBdr>
    </w:div>
    <w:div w:id="1909682453">
      <w:bodyDiv w:val="1"/>
      <w:marLeft w:val="0"/>
      <w:marRight w:val="0"/>
      <w:marTop w:val="0"/>
      <w:marBottom w:val="0"/>
      <w:divBdr>
        <w:top w:val="none" w:sz="0" w:space="0" w:color="auto"/>
        <w:left w:val="none" w:sz="0" w:space="0" w:color="auto"/>
        <w:bottom w:val="none" w:sz="0" w:space="0" w:color="auto"/>
        <w:right w:val="none" w:sz="0" w:space="0" w:color="auto"/>
      </w:divBdr>
    </w:div>
    <w:div w:id="1994989528">
      <w:bodyDiv w:val="1"/>
      <w:marLeft w:val="0"/>
      <w:marRight w:val="0"/>
      <w:marTop w:val="0"/>
      <w:marBottom w:val="0"/>
      <w:divBdr>
        <w:top w:val="none" w:sz="0" w:space="0" w:color="auto"/>
        <w:left w:val="none" w:sz="0" w:space="0" w:color="auto"/>
        <w:bottom w:val="none" w:sz="0" w:space="0" w:color="auto"/>
        <w:right w:val="none" w:sz="0" w:space="0" w:color="auto"/>
      </w:divBdr>
    </w:div>
    <w:div w:id="1995139744">
      <w:bodyDiv w:val="1"/>
      <w:marLeft w:val="0"/>
      <w:marRight w:val="0"/>
      <w:marTop w:val="0"/>
      <w:marBottom w:val="0"/>
      <w:divBdr>
        <w:top w:val="none" w:sz="0" w:space="0" w:color="auto"/>
        <w:left w:val="none" w:sz="0" w:space="0" w:color="auto"/>
        <w:bottom w:val="none" w:sz="0" w:space="0" w:color="auto"/>
        <w:right w:val="none" w:sz="0" w:space="0" w:color="auto"/>
      </w:divBdr>
    </w:div>
    <w:div w:id="2080667365">
      <w:bodyDiv w:val="1"/>
      <w:marLeft w:val="0"/>
      <w:marRight w:val="0"/>
      <w:marTop w:val="0"/>
      <w:marBottom w:val="0"/>
      <w:divBdr>
        <w:top w:val="none" w:sz="0" w:space="0" w:color="auto"/>
        <w:left w:val="none" w:sz="0" w:space="0" w:color="auto"/>
        <w:bottom w:val="none" w:sz="0" w:space="0" w:color="auto"/>
        <w:right w:val="none" w:sz="0" w:space="0" w:color="auto"/>
      </w:divBdr>
    </w:div>
    <w:div w:id="2139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FF76A-E8AC-42DD-AF1C-9313BE59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ciedess</cp:lastModifiedBy>
  <cp:revision>4</cp:revision>
  <dcterms:created xsi:type="dcterms:W3CDTF">2019-01-30T03:34:00Z</dcterms:created>
  <dcterms:modified xsi:type="dcterms:W3CDTF">2019-01-30T12:17:00Z</dcterms:modified>
</cp:coreProperties>
</file>