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012" w:rsidRDefault="001C1012" w:rsidP="001C1012">
      <w:pPr>
        <w:jc w:val="center"/>
        <w:rPr>
          <w:b/>
          <w:sz w:val="24"/>
        </w:rPr>
      </w:pPr>
      <w:r w:rsidRPr="00F35385">
        <w:rPr>
          <w:b/>
          <w:sz w:val="24"/>
        </w:rPr>
        <w:t>PRUEBA N°</w:t>
      </w:r>
      <w:r w:rsidR="00F928FB">
        <w:rPr>
          <w:b/>
          <w:sz w:val="24"/>
        </w:rPr>
        <w:t>8</w:t>
      </w:r>
      <w:r w:rsidRPr="00F35385">
        <w:rPr>
          <w:b/>
          <w:sz w:val="24"/>
        </w:rPr>
        <w:t xml:space="preserve">. </w:t>
      </w:r>
      <w:r w:rsidR="00F928FB">
        <w:rPr>
          <w:b/>
          <w:sz w:val="24"/>
        </w:rPr>
        <w:t>CALIFICACIÓN DE INVALIDEZ</w:t>
      </w:r>
    </w:p>
    <w:p w:rsidR="00894581" w:rsidRPr="00F35385" w:rsidRDefault="00894581" w:rsidP="001C1012">
      <w:pPr>
        <w:jc w:val="center"/>
        <w:rPr>
          <w:b/>
          <w:sz w:val="24"/>
        </w:rPr>
      </w:pPr>
    </w:p>
    <w:p w:rsidR="00B75C63" w:rsidRDefault="00F928FB" w:rsidP="00B75C63">
      <w:pPr>
        <w:pStyle w:val="Prrafodelista"/>
        <w:numPr>
          <w:ilvl w:val="0"/>
          <w:numId w:val="10"/>
        </w:numPr>
        <w:jc w:val="both"/>
      </w:pPr>
      <w:r>
        <w:t>Para evaluar y calificar la pérdida de capacidad de trabajo, las Comisiones Médicas podrán solicitar, entre otras, la realización de las siguientes pruebas o acciones</w:t>
      </w:r>
      <w:r w:rsidR="00B75C63" w:rsidRPr="00B75C63">
        <w:t>:</w:t>
      </w:r>
      <w:r w:rsidR="00B75C63" w:rsidRPr="00B75C63">
        <w:rPr>
          <w:vertAlign w:val="superscript"/>
        </w:rPr>
        <w:footnoteReference w:id="1"/>
      </w:r>
    </w:p>
    <w:p w:rsidR="00B75C63" w:rsidRPr="00B75C63" w:rsidRDefault="00F928FB" w:rsidP="00B75C63">
      <w:pPr>
        <w:pStyle w:val="Prrafodelista"/>
        <w:numPr>
          <w:ilvl w:val="0"/>
          <w:numId w:val="17"/>
        </w:numPr>
        <w:ind w:hanging="447"/>
      </w:pPr>
      <w:r>
        <w:t>Exámenes imagenológicos y de laboratorio</w:t>
      </w:r>
      <w:r w:rsidR="00B75C63" w:rsidRPr="00B75C63">
        <w:t>.</w:t>
      </w:r>
    </w:p>
    <w:p w:rsidR="00B75C63" w:rsidRPr="00B75C63" w:rsidRDefault="00F928FB" w:rsidP="00B75C63">
      <w:pPr>
        <w:pStyle w:val="Prrafodelista"/>
        <w:numPr>
          <w:ilvl w:val="0"/>
          <w:numId w:val="17"/>
        </w:numPr>
        <w:ind w:hanging="447"/>
      </w:pPr>
      <w:r>
        <w:t>Pruebas funcionales y evaluaciones médicas</w:t>
      </w:r>
      <w:r w:rsidR="00B75C63" w:rsidRPr="00B75C63">
        <w:t>.</w:t>
      </w:r>
    </w:p>
    <w:p w:rsidR="00B75C63" w:rsidRPr="00B75C63" w:rsidRDefault="00F928FB" w:rsidP="00B75C63">
      <w:pPr>
        <w:pStyle w:val="Prrafodelista"/>
        <w:numPr>
          <w:ilvl w:val="0"/>
          <w:numId w:val="17"/>
        </w:numPr>
        <w:ind w:hanging="447"/>
      </w:pPr>
      <w:r>
        <w:t>Hospitalizaciones controladas</w:t>
      </w:r>
      <w:r w:rsidR="00B75C63" w:rsidRPr="00B75C63">
        <w:t>.</w:t>
      </w:r>
    </w:p>
    <w:p w:rsidR="00876CAE" w:rsidRPr="0037446D" w:rsidRDefault="00B75C63" w:rsidP="001C1012">
      <w:pPr>
        <w:pStyle w:val="Prrafodelista"/>
        <w:numPr>
          <w:ilvl w:val="0"/>
          <w:numId w:val="2"/>
        </w:numPr>
        <w:ind w:left="1418" w:hanging="425"/>
      </w:pPr>
      <w:r w:rsidRPr="0037446D">
        <w:t>I y II</w:t>
      </w:r>
    </w:p>
    <w:p w:rsidR="00876CAE" w:rsidRDefault="00B75C63" w:rsidP="001C1012">
      <w:pPr>
        <w:pStyle w:val="Prrafodelista"/>
        <w:numPr>
          <w:ilvl w:val="0"/>
          <w:numId w:val="2"/>
        </w:numPr>
        <w:ind w:left="1418" w:hanging="425"/>
      </w:pPr>
      <w:r>
        <w:t>I y III</w:t>
      </w:r>
    </w:p>
    <w:p w:rsidR="00876CAE" w:rsidRDefault="00B75C63" w:rsidP="00876CAE">
      <w:pPr>
        <w:pStyle w:val="Prrafodelista"/>
        <w:numPr>
          <w:ilvl w:val="0"/>
          <w:numId w:val="2"/>
        </w:numPr>
        <w:ind w:left="1418" w:hanging="425"/>
      </w:pPr>
      <w:r>
        <w:t>II y III</w:t>
      </w:r>
    </w:p>
    <w:p w:rsidR="00876CAE" w:rsidRPr="0037446D" w:rsidRDefault="00B75C63" w:rsidP="00876CAE">
      <w:pPr>
        <w:pStyle w:val="Prrafodelista"/>
        <w:numPr>
          <w:ilvl w:val="0"/>
          <w:numId w:val="2"/>
        </w:numPr>
        <w:ind w:left="1418" w:hanging="425"/>
        <w:rPr>
          <w:highlight w:val="yellow"/>
        </w:rPr>
      </w:pPr>
      <w:r w:rsidRPr="0037446D">
        <w:rPr>
          <w:highlight w:val="yellow"/>
        </w:rPr>
        <w:t>I, II y III</w:t>
      </w:r>
    </w:p>
    <w:p w:rsidR="00894581" w:rsidRPr="00F35385" w:rsidRDefault="00894581"/>
    <w:p w:rsidR="00E16558" w:rsidRDefault="00F928FB" w:rsidP="00E16558">
      <w:pPr>
        <w:pStyle w:val="Prrafodelista"/>
        <w:numPr>
          <w:ilvl w:val="0"/>
          <w:numId w:val="10"/>
        </w:numPr>
        <w:jc w:val="both"/>
      </w:pPr>
      <w:r>
        <w:t>El costo de las interconsultas y/o exámenes será financiado, por los afiliados en forma conjunta, con las Administradoras, en caso de afiliados no cubiertos por el seguro de invalidez y sobrevivencia, y con las Compañías encargadas de cubrir el siniestro cuando se trate de afiliados cubiertos por dicho Seguro. Lo anterior a menos que se trate de solicitudes de calificación de invalidez presentadas por una Institución de Salud</w:t>
      </w:r>
      <w:r w:rsidR="00B651B6">
        <w:t xml:space="preserve"> Previsional</w:t>
      </w:r>
      <w:r>
        <w:t>, en cuyo caso los costos de exámenes, traslados y hospitalizaciones que éstas generen serán financiados del siguiente modo:</w:t>
      </w:r>
      <w:r w:rsidR="00E16558" w:rsidRPr="00E16558">
        <w:rPr>
          <w:vertAlign w:val="superscript"/>
        </w:rPr>
        <w:footnoteReference w:id="2"/>
      </w:r>
    </w:p>
    <w:p w:rsidR="003C6011" w:rsidRPr="00B651B6" w:rsidRDefault="00B651B6" w:rsidP="00E16558">
      <w:pPr>
        <w:pStyle w:val="Prrafodelista"/>
        <w:numPr>
          <w:ilvl w:val="0"/>
          <w:numId w:val="4"/>
        </w:numPr>
        <w:ind w:firstLine="414"/>
      </w:pPr>
      <w:r w:rsidRPr="00B651B6">
        <w:t>En forma compartida, por la Isapre y por el trabajador</w:t>
      </w:r>
    </w:p>
    <w:p w:rsidR="00F928FB" w:rsidRPr="00F928FB" w:rsidRDefault="00F928FB" w:rsidP="00F66908">
      <w:pPr>
        <w:pStyle w:val="Prrafodelista"/>
        <w:numPr>
          <w:ilvl w:val="0"/>
          <w:numId w:val="4"/>
        </w:numPr>
        <w:ind w:firstLine="414"/>
        <w:rPr>
          <w:highlight w:val="yellow"/>
        </w:rPr>
      </w:pPr>
      <w:r w:rsidRPr="00F928FB">
        <w:rPr>
          <w:highlight w:val="yellow"/>
        </w:rPr>
        <w:t xml:space="preserve">En su totalidad, por la respectiva Isapre </w:t>
      </w:r>
    </w:p>
    <w:p w:rsidR="00B651B6" w:rsidRPr="00B651B6" w:rsidRDefault="00B651B6" w:rsidP="00B651B6">
      <w:pPr>
        <w:pStyle w:val="Prrafodelista"/>
        <w:numPr>
          <w:ilvl w:val="0"/>
          <w:numId w:val="4"/>
        </w:numPr>
        <w:ind w:left="1418" w:hanging="284"/>
      </w:pPr>
      <w:r w:rsidRPr="00B651B6">
        <w:t xml:space="preserve">En forma compartida, por la Isapre y por </w:t>
      </w:r>
      <w:r>
        <w:t>la Administradora de Fondos de Pensiones.</w:t>
      </w:r>
    </w:p>
    <w:p w:rsidR="00F66908" w:rsidRPr="0037446D" w:rsidRDefault="00B651B6" w:rsidP="00F66908">
      <w:pPr>
        <w:pStyle w:val="Prrafodelista"/>
        <w:numPr>
          <w:ilvl w:val="0"/>
          <w:numId w:val="4"/>
        </w:numPr>
        <w:ind w:firstLine="414"/>
      </w:pPr>
      <w:r>
        <w:t>En su totalidad por el trabajador</w:t>
      </w:r>
      <w:r w:rsidR="0037446D" w:rsidRPr="0037446D">
        <w:t>.</w:t>
      </w:r>
    </w:p>
    <w:p w:rsidR="00894581" w:rsidRDefault="00894581"/>
    <w:p w:rsidR="00936DF8" w:rsidRDefault="00936DF8"/>
    <w:p w:rsidR="00936DF8" w:rsidRDefault="00936DF8"/>
    <w:p w:rsidR="00B651B6" w:rsidRDefault="00B651B6"/>
    <w:p w:rsidR="00B651B6" w:rsidRDefault="00B651B6"/>
    <w:p w:rsidR="00B651B6" w:rsidRDefault="00B651B6"/>
    <w:p w:rsidR="00B651B6" w:rsidRDefault="00B651B6"/>
    <w:p w:rsidR="00F66908" w:rsidRPr="00F35385" w:rsidRDefault="00B651B6" w:rsidP="00F66908">
      <w:pPr>
        <w:pStyle w:val="Prrafodelista"/>
        <w:numPr>
          <w:ilvl w:val="0"/>
          <w:numId w:val="10"/>
        </w:numPr>
      </w:pPr>
      <w:r>
        <w:t>Los gastos de traslados y estadías para la realización de exámenes y peritajes decretados por la Comisión Médica, no disponibles en la región, serán de cargo de…:</w:t>
      </w:r>
      <w:r w:rsidR="003C6011">
        <w:rPr>
          <w:rStyle w:val="Refdenotaalpie"/>
        </w:rPr>
        <w:footnoteReference w:id="3"/>
      </w:r>
    </w:p>
    <w:p w:rsidR="00B651B6" w:rsidRDefault="00B651B6" w:rsidP="00B651B6">
      <w:pPr>
        <w:pStyle w:val="Prrafodelista"/>
        <w:numPr>
          <w:ilvl w:val="0"/>
          <w:numId w:val="26"/>
        </w:numPr>
        <w:ind w:hanging="447"/>
      </w:pPr>
      <w:r>
        <w:t>La Administradora si se trata de un afiliado no cubierto</w:t>
      </w:r>
    </w:p>
    <w:p w:rsidR="00B651B6" w:rsidRDefault="00B651B6" w:rsidP="00B651B6">
      <w:pPr>
        <w:pStyle w:val="Prrafodelista"/>
        <w:numPr>
          <w:ilvl w:val="0"/>
          <w:numId w:val="26"/>
        </w:numPr>
        <w:ind w:hanging="447"/>
      </w:pPr>
      <w:r>
        <w:t>Las Compañías si se trata de afiliados cubiertos</w:t>
      </w:r>
    </w:p>
    <w:p w:rsidR="00B651B6" w:rsidRPr="00B651B6" w:rsidRDefault="00B651B6" w:rsidP="00B651B6">
      <w:pPr>
        <w:pStyle w:val="Prrafodelista"/>
        <w:numPr>
          <w:ilvl w:val="0"/>
          <w:numId w:val="26"/>
        </w:numPr>
        <w:ind w:hanging="447"/>
      </w:pPr>
      <w:r>
        <w:t>El Estado en los casos de afiliados cesantes</w:t>
      </w:r>
    </w:p>
    <w:p w:rsidR="00F73159" w:rsidRPr="0037446D" w:rsidRDefault="00B651B6" w:rsidP="00F73159">
      <w:pPr>
        <w:pStyle w:val="Prrafodelista"/>
        <w:numPr>
          <w:ilvl w:val="0"/>
          <w:numId w:val="5"/>
        </w:numPr>
        <w:ind w:left="1134" w:hanging="283"/>
        <w:rPr>
          <w:highlight w:val="yellow"/>
        </w:rPr>
      </w:pPr>
      <w:r>
        <w:rPr>
          <w:highlight w:val="yellow"/>
        </w:rPr>
        <w:t>I y II</w:t>
      </w:r>
    </w:p>
    <w:p w:rsidR="00F73159" w:rsidRDefault="00B651B6" w:rsidP="00F73159">
      <w:pPr>
        <w:pStyle w:val="Prrafodelista"/>
        <w:numPr>
          <w:ilvl w:val="0"/>
          <w:numId w:val="5"/>
        </w:numPr>
        <w:ind w:left="1134" w:hanging="283"/>
      </w:pPr>
      <w:r>
        <w:t>I y III</w:t>
      </w:r>
    </w:p>
    <w:p w:rsidR="0037446D" w:rsidRPr="0037446D" w:rsidRDefault="00B651B6" w:rsidP="00936DF8">
      <w:pPr>
        <w:pStyle w:val="Prrafodelista"/>
        <w:numPr>
          <w:ilvl w:val="0"/>
          <w:numId w:val="5"/>
        </w:numPr>
        <w:ind w:left="1134" w:hanging="283"/>
      </w:pPr>
      <w:r>
        <w:t>II y III</w:t>
      </w:r>
    </w:p>
    <w:p w:rsidR="00894581" w:rsidRDefault="00B651B6" w:rsidP="0006254D">
      <w:pPr>
        <w:pStyle w:val="Prrafodelista"/>
        <w:numPr>
          <w:ilvl w:val="0"/>
          <w:numId w:val="5"/>
        </w:numPr>
        <w:ind w:left="1134" w:hanging="283"/>
      </w:pPr>
      <w:r>
        <w:t>I, II y III</w:t>
      </w:r>
    </w:p>
    <w:p w:rsidR="00785CBF" w:rsidRPr="00F35385" w:rsidRDefault="00F73159" w:rsidP="001022A4">
      <w:r>
        <w:t xml:space="preserve"> </w:t>
      </w:r>
    </w:p>
    <w:p w:rsidR="00596D17" w:rsidRDefault="00B651B6" w:rsidP="00596D17">
      <w:pPr>
        <w:pStyle w:val="Prrafodelista"/>
        <w:numPr>
          <w:ilvl w:val="0"/>
          <w:numId w:val="10"/>
        </w:numPr>
      </w:pPr>
      <w:r>
        <w:t>La Administradora deberá informar al afiliado que está tramitando su invalidez, que podrá solicitar ser representado, a través de su médico tratante como observador a las sesiones de la Comisión Médica Regional cuando ésta conozca de la calificación de su invalidez. Asimismo, y en cualquier momento, podrá conocer el expediente que dio origen a dicha calificación. Los costos asociados al médico tratante, corresponden…:</w:t>
      </w:r>
      <w:r w:rsidR="0086798B">
        <w:rPr>
          <w:rStyle w:val="Refdenotaalpie"/>
        </w:rPr>
        <w:footnoteReference w:id="4"/>
      </w:r>
      <w:r w:rsidR="00596D17" w:rsidRPr="00F35385">
        <w:t xml:space="preserve"> </w:t>
      </w:r>
    </w:p>
    <w:p w:rsidR="00F73159" w:rsidRDefault="00B651B6" w:rsidP="00F73159">
      <w:pPr>
        <w:pStyle w:val="Prrafodelista"/>
        <w:numPr>
          <w:ilvl w:val="0"/>
          <w:numId w:val="6"/>
        </w:numPr>
        <w:ind w:left="1134" w:hanging="283"/>
      </w:pPr>
      <w:r>
        <w:t>Al Seguro de Invalidez y Sobrevivencia</w:t>
      </w:r>
    </w:p>
    <w:p w:rsidR="00F73159" w:rsidRPr="00B651B6" w:rsidRDefault="00B651B6" w:rsidP="001C1012">
      <w:pPr>
        <w:pStyle w:val="Prrafodelista"/>
        <w:numPr>
          <w:ilvl w:val="0"/>
          <w:numId w:val="6"/>
        </w:numPr>
        <w:ind w:left="1134" w:hanging="283"/>
      </w:pPr>
      <w:r w:rsidRPr="00B651B6">
        <w:t>A la Administradora de Fondos de Pensiones</w:t>
      </w:r>
    </w:p>
    <w:p w:rsidR="00B651B6" w:rsidRPr="00B651B6" w:rsidRDefault="00B651B6" w:rsidP="004F3254">
      <w:pPr>
        <w:pStyle w:val="Prrafodelista"/>
        <w:numPr>
          <w:ilvl w:val="0"/>
          <w:numId w:val="6"/>
        </w:numPr>
        <w:ind w:left="1134" w:hanging="283"/>
        <w:rPr>
          <w:highlight w:val="yellow"/>
        </w:rPr>
      </w:pPr>
      <w:r w:rsidRPr="00B651B6">
        <w:rPr>
          <w:highlight w:val="yellow"/>
        </w:rPr>
        <w:t>Al afiliado que tramita su invalidez</w:t>
      </w:r>
    </w:p>
    <w:p w:rsidR="004F3254" w:rsidRDefault="00B651B6" w:rsidP="004F3254">
      <w:pPr>
        <w:pStyle w:val="Prrafodelista"/>
        <w:numPr>
          <w:ilvl w:val="0"/>
          <w:numId w:val="6"/>
        </w:numPr>
        <w:ind w:left="1134" w:hanging="283"/>
      </w:pPr>
      <w:r>
        <w:t>A la Compañía de Seguros de Vida</w:t>
      </w:r>
    </w:p>
    <w:p w:rsidR="00894581" w:rsidRDefault="00894581" w:rsidP="00894581"/>
    <w:p w:rsidR="00894581" w:rsidRDefault="00894581" w:rsidP="00894581"/>
    <w:p w:rsidR="00785CBF" w:rsidRDefault="00785CBF" w:rsidP="00894581"/>
    <w:p w:rsidR="00936DF8" w:rsidRDefault="00936DF8" w:rsidP="00894581"/>
    <w:p w:rsidR="00936DF8" w:rsidRDefault="00936DF8" w:rsidP="00894581"/>
    <w:p w:rsidR="00936DF8" w:rsidRDefault="00936DF8" w:rsidP="00894581"/>
    <w:p w:rsidR="00551D77" w:rsidRDefault="00551D77" w:rsidP="00894581"/>
    <w:p w:rsidR="00894581" w:rsidRPr="00894581" w:rsidRDefault="00551D77" w:rsidP="0076706C">
      <w:pPr>
        <w:pStyle w:val="Prrafodelista"/>
        <w:numPr>
          <w:ilvl w:val="0"/>
          <w:numId w:val="10"/>
        </w:numPr>
      </w:pPr>
      <w:r>
        <w:lastRenderedPageBreak/>
        <w:t>La Comisión Médica podrá suspender el plazo de 60 días para dictaminar, en los siguientes casos</w:t>
      </w:r>
      <w:r w:rsidR="00163D4B" w:rsidRPr="00163D4B">
        <w:t>:</w:t>
      </w:r>
      <w:r w:rsidR="00894581">
        <w:rPr>
          <w:rStyle w:val="Refdenotaalpie"/>
        </w:rPr>
        <w:footnoteReference w:id="5"/>
      </w:r>
    </w:p>
    <w:p w:rsidR="00894581" w:rsidRPr="00894581" w:rsidRDefault="00551D77" w:rsidP="00985DA0">
      <w:pPr>
        <w:pStyle w:val="Prrafodelista"/>
        <w:numPr>
          <w:ilvl w:val="0"/>
          <w:numId w:val="22"/>
        </w:numPr>
        <w:ind w:hanging="447"/>
      </w:pPr>
      <w:r>
        <w:t>Por especial solicitud de postergación por parte del afiliado o el asesor previsional o el médico tratante del afiliado</w:t>
      </w:r>
      <w:r w:rsidR="00985DA0">
        <w:t>.</w:t>
      </w:r>
    </w:p>
    <w:p w:rsidR="00163D4B" w:rsidRPr="00894581" w:rsidRDefault="00551D77" w:rsidP="00163D4B">
      <w:pPr>
        <w:pStyle w:val="Prrafodelista"/>
        <w:numPr>
          <w:ilvl w:val="0"/>
          <w:numId w:val="22"/>
        </w:numPr>
        <w:ind w:hanging="447"/>
      </w:pPr>
      <w:r>
        <w:t>Por encontrarse pendientes exámenes médicos requeridos dentro del plazo, pero postergados por razones administrativas en los servicios médicos a los que debe recurrir el trabajador</w:t>
      </w:r>
      <w:r w:rsidR="00163D4B">
        <w:t>.</w:t>
      </w:r>
    </w:p>
    <w:p w:rsidR="00985DA0" w:rsidRPr="00894581" w:rsidRDefault="00551D77" w:rsidP="00985DA0">
      <w:pPr>
        <w:pStyle w:val="Prrafodelista"/>
        <w:numPr>
          <w:ilvl w:val="0"/>
          <w:numId w:val="22"/>
        </w:numPr>
        <w:ind w:hanging="447"/>
      </w:pPr>
      <w:r>
        <w:t>Por existir razones clínicas que precisan la postergación de los exámenes que deban practicarse al afiliado</w:t>
      </w:r>
      <w:r w:rsidR="00985DA0" w:rsidRPr="00894581">
        <w:t>.</w:t>
      </w:r>
    </w:p>
    <w:p w:rsidR="00894581" w:rsidRPr="00985DA0" w:rsidRDefault="00894581" w:rsidP="00894581">
      <w:pPr>
        <w:pStyle w:val="Prrafodelista"/>
        <w:numPr>
          <w:ilvl w:val="0"/>
          <w:numId w:val="18"/>
        </w:numPr>
        <w:ind w:left="1134" w:hanging="141"/>
      </w:pPr>
      <w:r w:rsidRPr="00985DA0">
        <w:t>I y II</w:t>
      </w:r>
    </w:p>
    <w:p w:rsidR="00894581" w:rsidRPr="00551D77" w:rsidRDefault="00894581" w:rsidP="00894581">
      <w:pPr>
        <w:pStyle w:val="Prrafodelista"/>
        <w:numPr>
          <w:ilvl w:val="0"/>
          <w:numId w:val="18"/>
        </w:numPr>
        <w:ind w:left="1134" w:hanging="141"/>
      </w:pPr>
      <w:r w:rsidRPr="00551D77">
        <w:t>I y III</w:t>
      </w:r>
    </w:p>
    <w:p w:rsidR="00894581" w:rsidRPr="00551D77" w:rsidRDefault="00894581" w:rsidP="00894581">
      <w:pPr>
        <w:pStyle w:val="Prrafodelista"/>
        <w:numPr>
          <w:ilvl w:val="0"/>
          <w:numId w:val="18"/>
        </w:numPr>
        <w:ind w:left="1134" w:hanging="141"/>
        <w:rPr>
          <w:highlight w:val="yellow"/>
        </w:rPr>
      </w:pPr>
      <w:r w:rsidRPr="00551D77">
        <w:rPr>
          <w:highlight w:val="yellow"/>
        </w:rPr>
        <w:t>II y III</w:t>
      </w:r>
    </w:p>
    <w:p w:rsidR="00894581" w:rsidRPr="00551D77" w:rsidRDefault="00894581" w:rsidP="00AF6825">
      <w:pPr>
        <w:pStyle w:val="Prrafodelista"/>
        <w:numPr>
          <w:ilvl w:val="0"/>
          <w:numId w:val="18"/>
        </w:numPr>
        <w:ind w:left="1134" w:hanging="141"/>
      </w:pPr>
      <w:r w:rsidRPr="00551D77">
        <w:t>I, II y III</w:t>
      </w:r>
    </w:p>
    <w:p w:rsidR="00985DA0" w:rsidRDefault="00985DA0" w:rsidP="00985DA0"/>
    <w:p w:rsidR="00163D4B" w:rsidRPr="00894581" w:rsidRDefault="00551D77" w:rsidP="00163D4B">
      <w:pPr>
        <w:pStyle w:val="Prrafodelista"/>
        <w:numPr>
          <w:ilvl w:val="0"/>
          <w:numId w:val="10"/>
        </w:numPr>
      </w:pPr>
      <w:r>
        <w:t>La Comisión Médica Regional deberá notificar la emisión del Dictamen que aprueba o rechaza una invalidez a las siguientes entidades o personas:</w:t>
      </w:r>
      <w:r w:rsidR="00163D4B">
        <w:rPr>
          <w:rStyle w:val="Refdenotaalpie"/>
        </w:rPr>
        <w:footnoteReference w:id="6"/>
      </w:r>
    </w:p>
    <w:p w:rsidR="00551D77" w:rsidRDefault="00551D77" w:rsidP="00551D77">
      <w:pPr>
        <w:pStyle w:val="Prrafodelista"/>
        <w:numPr>
          <w:ilvl w:val="0"/>
          <w:numId w:val="23"/>
        </w:numPr>
        <w:ind w:hanging="447"/>
      </w:pPr>
      <w:r>
        <w:t>Afiliado o beneficiario de pensión de sobrevivencia.</w:t>
      </w:r>
    </w:p>
    <w:p w:rsidR="00551D77" w:rsidRDefault="00551D77" w:rsidP="00551D77">
      <w:pPr>
        <w:pStyle w:val="Prrafodelista"/>
        <w:numPr>
          <w:ilvl w:val="0"/>
          <w:numId w:val="23"/>
        </w:numPr>
        <w:ind w:hanging="447"/>
      </w:pPr>
      <w:r>
        <w:t>Administradora respectiva.</w:t>
      </w:r>
    </w:p>
    <w:p w:rsidR="00551D77" w:rsidRDefault="00551D77" w:rsidP="00551D77">
      <w:pPr>
        <w:pStyle w:val="Prrafodelista"/>
        <w:numPr>
          <w:ilvl w:val="0"/>
          <w:numId w:val="23"/>
        </w:numPr>
        <w:ind w:hanging="447"/>
      </w:pPr>
      <w:r>
        <w:t>Compañía de Seguros que cubrirá el riesgo, en la eventualidad de que el causante se encuentre cubierto por el seguro de invalidez y sobrevivencia</w:t>
      </w:r>
    </w:p>
    <w:p w:rsidR="00163D4B" w:rsidRPr="00985DA0" w:rsidRDefault="00163D4B" w:rsidP="00163D4B">
      <w:pPr>
        <w:pStyle w:val="Prrafodelista"/>
        <w:numPr>
          <w:ilvl w:val="0"/>
          <w:numId w:val="24"/>
        </w:numPr>
        <w:ind w:left="1134" w:hanging="141"/>
      </w:pPr>
      <w:r w:rsidRPr="00985DA0">
        <w:t>I y II</w:t>
      </w:r>
    </w:p>
    <w:p w:rsidR="00163D4B" w:rsidRPr="00551D77" w:rsidRDefault="00163D4B" w:rsidP="00163D4B">
      <w:pPr>
        <w:pStyle w:val="Prrafodelista"/>
        <w:numPr>
          <w:ilvl w:val="0"/>
          <w:numId w:val="24"/>
        </w:numPr>
        <w:ind w:left="1134" w:hanging="141"/>
      </w:pPr>
      <w:r w:rsidRPr="00551D77">
        <w:t>I y III</w:t>
      </w:r>
    </w:p>
    <w:p w:rsidR="00163D4B" w:rsidRPr="00F35385" w:rsidRDefault="00163D4B" w:rsidP="00163D4B">
      <w:pPr>
        <w:pStyle w:val="Prrafodelista"/>
        <w:numPr>
          <w:ilvl w:val="0"/>
          <w:numId w:val="24"/>
        </w:numPr>
        <w:ind w:left="1134" w:hanging="141"/>
      </w:pPr>
      <w:r>
        <w:t>II y III</w:t>
      </w:r>
      <w:bookmarkStart w:id="0" w:name="_GoBack"/>
      <w:bookmarkEnd w:id="0"/>
    </w:p>
    <w:p w:rsidR="00163D4B" w:rsidRPr="00551D77" w:rsidRDefault="00163D4B" w:rsidP="00163D4B">
      <w:pPr>
        <w:pStyle w:val="Prrafodelista"/>
        <w:numPr>
          <w:ilvl w:val="0"/>
          <w:numId w:val="24"/>
        </w:numPr>
        <w:ind w:left="1134" w:hanging="141"/>
        <w:rPr>
          <w:highlight w:val="yellow"/>
        </w:rPr>
      </w:pPr>
      <w:r w:rsidRPr="00551D77">
        <w:rPr>
          <w:highlight w:val="yellow"/>
        </w:rPr>
        <w:t>I, II y III</w:t>
      </w:r>
    </w:p>
    <w:p w:rsidR="00163D4B" w:rsidRDefault="00163D4B" w:rsidP="00985DA0"/>
    <w:p w:rsidR="00985DA0" w:rsidRDefault="00431647" w:rsidP="00431647">
      <w:pPr>
        <w:pStyle w:val="Prrafodelista"/>
        <w:numPr>
          <w:ilvl w:val="0"/>
          <w:numId w:val="10"/>
        </w:numPr>
      </w:pPr>
      <w:r>
        <w:t xml:space="preserve">Para efectos de interponer un reclamo ante la Comisión Médica Central, la parte interesada debe presentarlo por escrito, ante la Comisión Médica Regional que lo emitió, dentro del </w:t>
      </w:r>
      <w:r w:rsidR="00B17B0A">
        <w:t xml:space="preserve">siguiente </w:t>
      </w:r>
      <w:r>
        <w:t>plazo</w:t>
      </w:r>
      <w:r w:rsidR="00B17B0A">
        <w:t>:</w:t>
      </w:r>
      <w:r>
        <w:rPr>
          <w:rStyle w:val="Refdenotaalpie"/>
        </w:rPr>
        <w:footnoteReference w:id="7"/>
      </w:r>
    </w:p>
    <w:p w:rsidR="00B17B0A" w:rsidRDefault="00B17B0A" w:rsidP="00B17B0A">
      <w:pPr>
        <w:pStyle w:val="Prrafodelista"/>
        <w:numPr>
          <w:ilvl w:val="0"/>
          <w:numId w:val="27"/>
        </w:numPr>
        <w:ind w:left="1134" w:hanging="141"/>
      </w:pPr>
      <w:r>
        <w:t xml:space="preserve">15 días hábiles contado desde la fecha de emisión del dictamen </w:t>
      </w:r>
    </w:p>
    <w:p w:rsidR="00B17B0A" w:rsidRPr="00551D77" w:rsidRDefault="00B17B0A" w:rsidP="00B17B0A">
      <w:pPr>
        <w:pStyle w:val="Prrafodelista"/>
        <w:numPr>
          <w:ilvl w:val="0"/>
          <w:numId w:val="27"/>
        </w:numPr>
        <w:ind w:left="1134" w:hanging="141"/>
      </w:pPr>
      <w:r>
        <w:t>15 días corridos contado desde la fecha de notificación del dictamen</w:t>
      </w:r>
    </w:p>
    <w:p w:rsidR="00B17B0A" w:rsidRPr="00B17B0A" w:rsidRDefault="00B17B0A" w:rsidP="00B17B0A">
      <w:pPr>
        <w:pStyle w:val="Prrafodelista"/>
        <w:numPr>
          <w:ilvl w:val="0"/>
          <w:numId w:val="27"/>
        </w:numPr>
        <w:ind w:left="1134" w:hanging="141"/>
        <w:rPr>
          <w:highlight w:val="yellow"/>
        </w:rPr>
      </w:pPr>
      <w:r w:rsidRPr="00B17B0A">
        <w:rPr>
          <w:highlight w:val="yellow"/>
        </w:rPr>
        <w:t>15 días hábiles contado desde la fecha de notificación del dictamen</w:t>
      </w:r>
    </w:p>
    <w:p w:rsidR="00B17B0A" w:rsidRPr="00894581" w:rsidRDefault="00B17B0A" w:rsidP="00B17B0A">
      <w:pPr>
        <w:pStyle w:val="Prrafodelista"/>
        <w:numPr>
          <w:ilvl w:val="0"/>
          <w:numId w:val="27"/>
        </w:numPr>
        <w:ind w:left="1134" w:hanging="141"/>
      </w:pPr>
      <w:r>
        <w:t xml:space="preserve">15 días corridos contado desde la fecha de emisión del dictamen </w:t>
      </w:r>
    </w:p>
    <w:sectPr w:rsidR="00B17B0A" w:rsidRPr="00894581" w:rsidSect="001C1012">
      <w:headerReference w:type="default" r:id="rId8"/>
      <w:pgSz w:w="12240" w:h="15840"/>
      <w:pgMar w:top="1843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5F0" w:rsidRDefault="003D25F0" w:rsidP="00C03ECB">
      <w:pPr>
        <w:spacing w:after="0" w:line="240" w:lineRule="auto"/>
      </w:pPr>
      <w:r>
        <w:separator/>
      </w:r>
    </w:p>
  </w:endnote>
  <w:endnote w:type="continuationSeparator" w:id="0">
    <w:p w:rsidR="003D25F0" w:rsidRDefault="003D25F0" w:rsidP="00C0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5F0" w:rsidRDefault="003D25F0" w:rsidP="00C03ECB">
      <w:pPr>
        <w:spacing w:after="0" w:line="240" w:lineRule="auto"/>
      </w:pPr>
      <w:r>
        <w:separator/>
      </w:r>
    </w:p>
  </w:footnote>
  <w:footnote w:type="continuationSeparator" w:id="0">
    <w:p w:rsidR="003D25F0" w:rsidRDefault="003D25F0" w:rsidP="00C03ECB">
      <w:pPr>
        <w:spacing w:after="0" w:line="240" w:lineRule="auto"/>
      </w:pPr>
      <w:r>
        <w:continuationSeparator/>
      </w:r>
    </w:p>
  </w:footnote>
  <w:footnote w:id="1">
    <w:p w:rsidR="00B75C63" w:rsidRDefault="00B75C63" w:rsidP="00F928FB">
      <w:pPr>
        <w:pStyle w:val="Textonotapie"/>
        <w:ind w:left="142" w:hanging="142"/>
        <w:jc w:val="both"/>
      </w:pPr>
      <w:r>
        <w:rPr>
          <w:rStyle w:val="Refdenotaalpie"/>
        </w:rPr>
        <w:footnoteRef/>
      </w:r>
      <w:r>
        <w:t xml:space="preserve"> </w:t>
      </w:r>
      <w:r w:rsidR="00F928FB">
        <w:t xml:space="preserve">Libro III, Título I, Letra D Pensión </w:t>
      </w:r>
      <w:r w:rsidR="00F928FB" w:rsidRPr="00F928FB">
        <w:t xml:space="preserve">de Invalidez. Capítulo III. Calificación de la invalidez. N° 2, de </w:t>
      </w:r>
      <w:r w:rsidR="00F928FB">
        <w:t xml:space="preserve">los </w:t>
      </w:r>
      <w:r w:rsidR="00F928FB" w:rsidRPr="00F928FB">
        <w:rPr>
          <w:bCs/>
        </w:rPr>
        <w:t>Requerimientos de las Comisiones Médicas</w:t>
      </w:r>
      <w:r w:rsidR="00F928FB">
        <w:t>.</w:t>
      </w:r>
    </w:p>
  </w:footnote>
  <w:footnote w:id="2">
    <w:p w:rsidR="00E16558" w:rsidRDefault="00E16558" w:rsidP="00936DF8">
      <w:pPr>
        <w:pStyle w:val="Textonotapie"/>
        <w:ind w:left="142" w:hanging="142"/>
      </w:pPr>
      <w:r>
        <w:rPr>
          <w:rStyle w:val="Refdenotaalpie"/>
        </w:rPr>
        <w:footnoteRef/>
      </w:r>
      <w:r>
        <w:t xml:space="preserve"> </w:t>
      </w:r>
      <w:r w:rsidR="00B651B6">
        <w:t xml:space="preserve">Libro III, Título I, Letra D Pensión </w:t>
      </w:r>
      <w:r w:rsidR="00B651B6" w:rsidRPr="00F928FB">
        <w:t xml:space="preserve">de Invalidez. Capítulo III. Calificación de la invalidez. N° 2, de </w:t>
      </w:r>
      <w:r w:rsidR="00B651B6">
        <w:t xml:space="preserve">los </w:t>
      </w:r>
      <w:r w:rsidR="00B651B6" w:rsidRPr="00F928FB">
        <w:rPr>
          <w:bCs/>
        </w:rPr>
        <w:t>Requerimientos de las Comisiones Médicas</w:t>
      </w:r>
      <w:r w:rsidR="00B651B6">
        <w:t>, letra a) del financiamiento de interconsultas y/o exámenes</w:t>
      </w:r>
      <w:proofErr w:type="gramStart"/>
      <w:r w:rsidR="00B651B6">
        <w:t>.</w:t>
      </w:r>
      <w:r w:rsidR="00936DF8">
        <w:t>.</w:t>
      </w:r>
      <w:proofErr w:type="gramEnd"/>
    </w:p>
  </w:footnote>
  <w:footnote w:id="3">
    <w:p w:rsidR="003C6011" w:rsidRDefault="003C6011" w:rsidP="00936DF8">
      <w:pPr>
        <w:pStyle w:val="Textonotapie"/>
        <w:ind w:left="142" w:hanging="142"/>
      </w:pPr>
      <w:r>
        <w:rPr>
          <w:rStyle w:val="Refdenotaalpie"/>
        </w:rPr>
        <w:footnoteRef/>
      </w:r>
      <w:r>
        <w:t xml:space="preserve"> </w:t>
      </w:r>
      <w:r w:rsidR="00B651B6">
        <w:t xml:space="preserve">Libro III, Título I, Letra D Pensión </w:t>
      </w:r>
      <w:r w:rsidR="00B651B6" w:rsidRPr="00F928FB">
        <w:t xml:space="preserve">de Invalidez. Capítulo III. Calificación de la invalidez. N° 2, de </w:t>
      </w:r>
      <w:r w:rsidR="00B651B6">
        <w:t xml:space="preserve">los </w:t>
      </w:r>
      <w:r w:rsidR="00B651B6" w:rsidRPr="00F928FB">
        <w:rPr>
          <w:bCs/>
        </w:rPr>
        <w:t>Requerimientos de las Comisiones Médicas</w:t>
      </w:r>
      <w:r w:rsidR="00B651B6">
        <w:t>, letra b) del financiamiento del traslado y estadía.</w:t>
      </w:r>
    </w:p>
  </w:footnote>
  <w:footnote w:id="4">
    <w:p w:rsidR="0086798B" w:rsidRDefault="0086798B" w:rsidP="00936DF8">
      <w:pPr>
        <w:pStyle w:val="Textonotapie"/>
        <w:ind w:left="142" w:hanging="142"/>
      </w:pPr>
      <w:r w:rsidRPr="00936DF8">
        <w:rPr>
          <w:vertAlign w:val="superscript"/>
        </w:rPr>
        <w:footnoteRef/>
      </w:r>
      <w:r>
        <w:t xml:space="preserve"> </w:t>
      </w:r>
      <w:r w:rsidR="00B651B6">
        <w:t xml:space="preserve">Libro III, Título I, Letra D Pensión </w:t>
      </w:r>
      <w:r w:rsidR="00B651B6" w:rsidRPr="00F928FB">
        <w:t xml:space="preserve">de Invalidez. Capítulo III. Calificación de la invalidez. N° </w:t>
      </w:r>
      <w:r w:rsidR="00B651B6">
        <w:t>3</w:t>
      </w:r>
      <w:r w:rsidR="00B651B6" w:rsidRPr="00F928FB">
        <w:t>, de</w:t>
      </w:r>
      <w:r w:rsidR="00B651B6">
        <w:t xml:space="preserve"> los derechos de los afiliados</w:t>
      </w:r>
      <w:r w:rsidR="00F73159">
        <w:t>.</w:t>
      </w:r>
    </w:p>
  </w:footnote>
  <w:footnote w:id="5">
    <w:p w:rsidR="00894581" w:rsidRPr="00163D4B" w:rsidRDefault="00894581" w:rsidP="00551D77">
      <w:pPr>
        <w:pStyle w:val="Textonotapie"/>
        <w:ind w:left="142" w:hanging="142"/>
      </w:pPr>
      <w:r>
        <w:rPr>
          <w:rStyle w:val="Refdenotaalpie"/>
        </w:rPr>
        <w:footnoteRef/>
      </w:r>
      <w:r>
        <w:t xml:space="preserve"> </w:t>
      </w:r>
      <w:r w:rsidR="00551D77">
        <w:t xml:space="preserve">Libro III, Título I, Letra D Pensión </w:t>
      </w:r>
      <w:r w:rsidR="00551D77" w:rsidRPr="00F928FB">
        <w:t xml:space="preserve">de Invalidez. Capítulo III. Calificación de la invalidez. N° </w:t>
      </w:r>
      <w:r w:rsidR="00551D77">
        <w:t>5</w:t>
      </w:r>
      <w:r w:rsidR="00551D77" w:rsidRPr="00F928FB">
        <w:t>, de</w:t>
      </w:r>
      <w:r w:rsidR="00551D77">
        <w:t xml:space="preserve"> los tipos de dictámenes o acuerdos.</w:t>
      </w:r>
    </w:p>
  </w:footnote>
  <w:footnote w:id="6">
    <w:p w:rsidR="00163D4B" w:rsidRPr="00163D4B" w:rsidRDefault="00163D4B" w:rsidP="00431647">
      <w:pPr>
        <w:pStyle w:val="Textonotapie"/>
        <w:ind w:left="142" w:hanging="142"/>
      </w:pPr>
      <w:r>
        <w:rPr>
          <w:rStyle w:val="Refdenotaalpie"/>
        </w:rPr>
        <w:footnoteRef/>
      </w:r>
      <w:r>
        <w:t xml:space="preserve"> </w:t>
      </w:r>
      <w:r w:rsidR="00551D77">
        <w:t xml:space="preserve">Libro III, Título I, Letra D Pensión </w:t>
      </w:r>
      <w:r w:rsidR="00551D77" w:rsidRPr="00F928FB">
        <w:t xml:space="preserve">de Invalidez. Capítulo III. Calificación de la invalidez. N° </w:t>
      </w:r>
      <w:r w:rsidR="00551D77">
        <w:t>6</w:t>
      </w:r>
      <w:r w:rsidR="00551D77" w:rsidRPr="00F928FB">
        <w:t>, de</w:t>
      </w:r>
      <w:r w:rsidR="00551D77">
        <w:t xml:space="preserve"> la notificación de los dictámenes de invalidez.</w:t>
      </w:r>
    </w:p>
  </w:footnote>
  <w:footnote w:id="7">
    <w:p w:rsidR="00431647" w:rsidRDefault="00431647" w:rsidP="00B17B0A">
      <w:pPr>
        <w:pStyle w:val="Textonotapie"/>
        <w:ind w:left="142" w:hanging="142"/>
      </w:pPr>
      <w:r>
        <w:rPr>
          <w:rStyle w:val="Refdenotaalpie"/>
        </w:rPr>
        <w:footnoteRef/>
      </w:r>
      <w:r>
        <w:t xml:space="preserve"> </w:t>
      </w:r>
      <w:r w:rsidRPr="00431647">
        <w:t>Libro III, Título I, Letra D Pensión de Invalidez</w:t>
      </w:r>
      <w:r>
        <w:t>. Capítulo IV. Procedimiento de Reclamo del dictamen de invalidez</w:t>
      </w:r>
      <w:r w:rsidR="00B17B0A">
        <w:t>. N° 1, del plazo para interponer un reclamo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59" w:rsidRDefault="00253659">
    <w:pPr>
      <w:pStyle w:val="Encabezado"/>
    </w:pPr>
    <w:r>
      <w:rPr>
        <w:noProof/>
        <w:lang w:eastAsia="es-CL"/>
      </w:rPr>
      <w:drawing>
        <wp:inline distT="0" distB="0" distL="0" distR="0">
          <wp:extent cx="747533" cy="447675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incón Financiero.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01" cy="454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0041F"/>
    <w:multiLevelType w:val="hybridMultilevel"/>
    <w:tmpl w:val="7FA20F82"/>
    <w:lvl w:ilvl="0" w:tplc="08E0DB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B6F8B"/>
    <w:multiLevelType w:val="hybridMultilevel"/>
    <w:tmpl w:val="D73CBC28"/>
    <w:lvl w:ilvl="0" w:tplc="621C4F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01243"/>
    <w:multiLevelType w:val="hybridMultilevel"/>
    <w:tmpl w:val="7FA20F82"/>
    <w:lvl w:ilvl="0" w:tplc="08E0DB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A12E90"/>
    <w:multiLevelType w:val="hybridMultilevel"/>
    <w:tmpl w:val="7FA20F82"/>
    <w:lvl w:ilvl="0" w:tplc="08E0DB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C076DB"/>
    <w:multiLevelType w:val="hybridMultilevel"/>
    <w:tmpl w:val="D73CBC28"/>
    <w:lvl w:ilvl="0" w:tplc="621C4F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24F81"/>
    <w:multiLevelType w:val="hybridMultilevel"/>
    <w:tmpl w:val="D73CBC28"/>
    <w:lvl w:ilvl="0" w:tplc="621C4F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C5C87"/>
    <w:multiLevelType w:val="hybridMultilevel"/>
    <w:tmpl w:val="7FA20F82"/>
    <w:lvl w:ilvl="0" w:tplc="08E0DB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BB4616"/>
    <w:multiLevelType w:val="hybridMultilevel"/>
    <w:tmpl w:val="D73CBC28"/>
    <w:lvl w:ilvl="0" w:tplc="621C4F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C6046"/>
    <w:multiLevelType w:val="hybridMultilevel"/>
    <w:tmpl w:val="143C8B9C"/>
    <w:lvl w:ilvl="0" w:tplc="621C4F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A0A3B"/>
    <w:multiLevelType w:val="hybridMultilevel"/>
    <w:tmpl w:val="D73CBC28"/>
    <w:lvl w:ilvl="0" w:tplc="621C4F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61825"/>
    <w:multiLevelType w:val="hybridMultilevel"/>
    <w:tmpl w:val="D73CBC28"/>
    <w:lvl w:ilvl="0" w:tplc="621C4F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957C5"/>
    <w:multiLevelType w:val="hybridMultilevel"/>
    <w:tmpl w:val="44387872"/>
    <w:lvl w:ilvl="0" w:tplc="BBE85B8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5D769C"/>
    <w:multiLevelType w:val="hybridMultilevel"/>
    <w:tmpl w:val="D73CBC28"/>
    <w:lvl w:ilvl="0" w:tplc="621C4F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64F6B"/>
    <w:multiLevelType w:val="hybridMultilevel"/>
    <w:tmpl w:val="7FA20F82"/>
    <w:lvl w:ilvl="0" w:tplc="08E0DB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643079"/>
    <w:multiLevelType w:val="hybridMultilevel"/>
    <w:tmpl w:val="1EB6AF40"/>
    <w:lvl w:ilvl="0" w:tplc="5A666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403AD"/>
    <w:multiLevelType w:val="hybridMultilevel"/>
    <w:tmpl w:val="785CCFBA"/>
    <w:lvl w:ilvl="0" w:tplc="F7A29B3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E5602"/>
    <w:multiLevelType w:val="hybridMultilevel"/>
    <w:tmpl w:val="2362B2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C732B"/>
    <w:multiLevelType w:val="hybridMultilevel"/>
    <w:tmpl w:val="D73CBC28"/>
    <w:lvl w:ilvl="0" w:tplc="621C4F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72410"/>
    <w:multiLevelType w:val="hybridMultilevel"/>
    <w:tmpl w:val="715EAFBC"/>
    <w:lvl w:ilvl="0" w:tplc="313AFF0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214B4"/>
    <w:multiLevelType w:val="hybridMultilevel"/>
    <w:tmpl w:val="D73CBC28"/>
    <w:lvl w:ilvl="0" w:tplc="621C4F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E42DD"/>
    <w:multiLevelType w:val="hybridMultilevel"/>
    <w:tmpl w:val="9F04F4F4"/>
    <w:lvl w:ilvl="0" w:tplc="A9467966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654726EE"/>
    <w:multiLevelType w:val="hybridMultilevel"/>
    <w:tmpl w:val="7FA20F82"/>
    <w:lvl w:ilvl="0" w:tplc="08E0DB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485BF4"/>
    <w:multiLevelType w:val="hybridMultilevel"/>
    <w:tmpl w:val="D73CBC28"/>
    <w:lvl w:ilvl="0" w:tplc="621C4F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7071A"/>
    <w:multiLevelType w:val="multilevel"/>
    <w:tmpl w:val="63BC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753916"/>
    <w:multiLevelType w:val="hybridMultilevel"/>
    <w:tmpl w:val="8B4C8004"/>
    <w:lvl w:ilvl="0" w:tplc="340A0013">
      <w:start w:val="1"/>
      <w:numFmt w:val="upperRoman"/>
      <w:lvlText w:val="%1."/>
      <w:lvlJc w:val="right"/>
      <w:pPr>
        <w:ind w:left="1487" w:hanging="360"/>
      </w:pPr>
    </w:lvl>
    <w:lvl w:ilvl="1" w:tplc="340A0019" w:tentative="1">
      <w:start w:val="1"/>
      <w:numFmt w:val="lowerLetter"/>
      <w:lvlText w:val="%2."/>
      <w:lvlJc w:val="left"/>
      <w:pPr>
        <w:ind w:left="2207" w:hanging="360"/>
      </w:pPr>
    </w:lvl>
    <w:lvl w:ilvl="2" w:tplc="340A001B" w:tentative="1">
      <w:start w:val="1"/>
      <w:numFmt w:val="lowerRoman"/>
      <w:lvlText w:val="%3."/>
      <w:lvlJc w:val="right"/>
      <w:pPr>
        <w:ind w:left="2927" w:hanging="180"/>
      </w:pPr>
    </w:lvl>
    <w:lvl w:ilvl="3" w:tplc="340A000F" w:tentative="1">
      <w:start w:val="1"/>
      <w:numFmt w:val="decimal"/>
      <w:lvlText w:val="%4."/>
      <w:lvlJc w:val="left"/>
      <w:pPr>
        <w:ind w:left="3647" w:hanging="360"/>
      </w:pPr>
    </w:lvl>
    <w:lvl w:ilvl="4" w:tplc="340A0019" w:tentative="1">
      <w:start w:val="1"/>
      <w:numFmt w:val="lowerLetter"/>
      <w:lvlText w:val="%5."/>
      <w:lvlJc w:val="left"/>
      <w:pPr>
        <w:ind w:left="4367" w:hanging="360"/>
      </w:pPr>
    </w:lvl>
    <w:lvl w:ilvl="5" w:tplc="340A001B" w:tentative="1">
      <w:start w:val="1"/>
      <w:numFmt w:val="lowerRoman"/>
      <w:lvlText w:val="%6."/>
      <w:lvlJc w:val="right"/>
      <w:pPr>
        <w:ind w:left="5087" w:hanging="180"/>
      </w:pPr>
    </w:lvl>
    <w:lvl w:ilvl="6" w:tplc="340A000F" w:tentative="1">
      <w:start w:val="1"/>
      <w:numFmt w:val="decimal"/>
      <w:lvlText w:val="%7."/>
      <w:lvlJc w:val="left"/>
      <w:pPr>
        <w:ind w:left="5807" w:hanging="360"/>
      </w:pPr>
    </w:lvl>
    <w:lvl w:ilvl="7" w:tplc="340A0019" w:tentative="1">
      <w:start w:val="1"/>
      <w:numFmt w:val="lowerLetter"/>
      <w:lvlText w:val="%8."/>
      <w:lvlJc w:val="left"/>
      <w:pPr>
        <w:ind w:left="6527" w:hanging="360"/>
      </w:pPr>
    </w:lvl>
    <w:lvl w:ilvl="8" w:tplc="340A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5" w15:restartNumberingAfterBreak="0">
    <w:nsid w:val="7441264E"/>
    <w:multiLevelType w:val="hybridMultilevel"/>
    <w:tmpl w:val="D73CBC28"/>
    <w:lvl w:ilvl="0" w:tplc="621C4F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1872DD"/>
    <w:multiLevelType w:val="hybridMultilevel"/>
    <w:tmpl w:val="9F60B55E"/>
    <w:lvl w:ilvl="0" w:tplc="34368C80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10"/>
  </w:num>
  <w:num w:numId="5">
    <w:abstractNumId w:val="7"/>
  </w:num>
  <w:num w:numId="6">
    <w:abstractNumId w:val="9"/>
  </w:num>
  <w:num w:numId="7">
    <w:abstractNumId w:val="12"/>
  </w:num>
  <w:num w:numId="8">
    <w:abstractNumId w:val="22"/>
  </w:num>
  <w:num w:numId="9">
    <w:abstractNumId w:val="19"/>
  </w:num>
  <w:num w:numId="10">
    <w:abstractNumId w:val="16"/>
  </w:num>
  <w:num w:numId="11">
    <w:abstractNumId w:val="24"/>
  </w:num>
  <w:num w:numId="12">
    <w:abstractNumId w:val="4"/>
  </w:num>
  <w:num w:numId="13">
    <w:abstractNumId w:val="21"/>
  </w:num>
  <w:num w:numId="14">
    <w:abstractNumId w:val="11"/>
  </w:num>
  <w:num w:numId="15">
    <w:abstractNumId w:val="20"/>
  </w:num>
  <w:num w:numId="16">
    <w:abstractNumId w:val="23"/>
  </w:num>
  <w:num w:numId="17">
    <w:abstractNumId w:val="2"/>
  </w:num>
  <w:num w:numId="18">
    <w:abstractNumId w:val="25"/>
  </w:num>
  <w:num w:numId="19">
    <w:abstractNumId w:val="15"/>
  </w:num>
  <w:num w:numId="20">
    <w:abstractNumId w:val="14"/>
  </w:num>
  <w:num w:numId="21">
    <w:abstractNumId w:val="6"/>
  </w:num>
  <w:num w:numId="22">
    <w:abstractNumId w:val="0"/>
  </w:num>
  <w:num w:numId="23">
    <w:abstractNumId w:val="13"/>
  </w:num>
  <w:num w:numId="24">
    <w:abstractNumId w:val="17"/>
  </w:num>
  <w:num w:numId="25">
    <w:abstractNumId w:val="26"/>
  </w:num>
  <w:num w:numId="26">
    <w:abstractNumId w:val="3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CB"/>
    <w:rsid w:val="00006F6B"/>
    <w:rsid w:val="0004269A"/>
    <w:rsid w:val="001022A4"/>
    <w:rsid w:val="00106BEC"/>
    <w:rsid w:val="00163D4B"/>
    <w:rsid w:val="001874A9"/>
    <w:rsid w:val="001C1012"/>
    <w:rsid w:val="002011A4"/>
    <w:rsid w:val="00253659"/>
    <w:rsid w:val="00254C2F"/>
    <w:rsid w:val="0037446D"/>
    <w:rsid w:val="003B5B05"/>
    <w:rsid w:val="003C5ABD"/>
    <w:rsid w:val="003C6011"/>
    <w:rsid w:val="003D25F0"/>
    <w:rsid w:val="003E49F2"/>
    <w:rsid w:val="00431647"/>
    <w:rsid w:val="004425F9"/>
    <w:rsid w:val="004F3254"/>
    <w:rsid w:val="00513EBA"/>
    <w:rsid w:val="0055129E"/>
    <w:rsid w:val="00551D77"/>
    <w:rsid w:val="00596D17"/>
    <w:rsid w:val="005B423E"/>
    <w:rsid w:val="00610CA1"/>
    <w:rsid w:val="00634B3C"/>
    <w:rsid w:val="006A3F26"/>
    <w:rsid w:val="006D64B8"/>
    <w:rsid w:val="00704A8F"/>
    <w:rsid w:val="00745803"/>
    <w:rsid w:val="00785CBF"/>
    <w:rsid w:val="00836AA9"/>
    <w:rsid w:val="008543A5"/>
    <w:rsid w:val="0086798B"/>
    <w:rsid w:val="00876CAE"/>
    <w:rsid w:val="00894581"/>
    <w:rsid w:val="00896CD3"/>
    <w:rsid w:val="00936DF8"/>
    <w:rsid w:val="00985DA0"/>
    <w:rsid w:val="00997283"/>
    <w:rsid w:val="009F49AC"/>
    <w:rsid w:val="00A5256B"/>
    <w:rsid w:val="00A70A1B"/>
    <w:rsid w:val="00A90532"/>
    <w:rsid w:val="00AA0D3C"/>
    <w:rsid w:val="00B17B0A"/>
    <w:rsid w:val="00B27E3A"/>
    <w:rsid w:val="00B60AD5"/>
    <w:rsid w:val="00B651B6"/>
    <w:rsid w:val="00B75C63"/>
    <w:rsid w:val="00C03ECB"/>
    <w:rsid w:val="00C41373"/>
    <w:rsid w:val="00C77780"/>
    <w:rsid w:val="00C82222"/>
    <w:rsid w:val="00CB11DC"/>
    <w:rsid w:val="00CD6426"/>
    <w:rsid w:val="00D54206"/>
    <w:rsid w:val="00D65F57"/>
    <w:rsid w:val="00DC3081"/>
    <w:rsid w:val="00E16558"/>
    <w:rsid w:val="00E42F4F"/>
    <w:rsid w:val="00E81B52"/>
    <w:rsid w:val="00E94980"/>
    <w:rsid w:val="00EA0E47"/>
    <w:rsid w:val="00F35385"/>
    <w:rsid w:val="00F37689"/>
    <w:rsid w:val="00F52E79"/>
    <w:rsid w:val="00F66908"/>
    <w:rsid w:val="00F73159"/>
    <w:rsid w:val="00F75FA3"/>
    <w:rsid w:val="00F928FB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BA4259E-FC89-44AD-9F4C-BB0E0F01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81B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3D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notapie">
    <w:name w:val="footnote text"/>
    <w:basedOn w:val="Normal"/>
    <w:link w:val="TextonotapieCar"/>
    <w:uiPriority w:val="99"/>
    <w:unhideWhenUsed/>
    <w:rsid w:val="00C03EC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03EC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03ECB"/>
    <w:rPr>
      <w:vertAlign w:val="superscript"/>
    </w:rPr>
  </w:style>
  <w:style w:type="paragraph" w:styleId="Prrafodelista">
    <w:name w:val="List Paragraph"/>
    <w:basedOn w:val="Normal"/>
    <w:uiPriority w:val="34"/>
    <w:qFormat/>
    <w:rsid w:val="00C03ECB"/>
    <w:pPr>
      <w:ind w:left="720"/>
      <w:contextualSpacing/>
    </w:pPr>
  </w:style>
  <w:style w:type="paragraph" w:customStyle="1" w:styleId="margen-abajo-xs">
    <w:name w:val="margen-abajo-xs"/>
    <w:basedOn w:val="Normal"/>
    <w:rsid w:val="004F3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1C10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1012"/>
  </w:style>
  <w:style w:type="paragraph" w:styleId="Piedepgina">
    <w:name w:val="footer"/>
    <w:basedOn w:val="Normal"/>
    <w:link w:val="PiedepginaCar"/>
    <w:uiPriority w:val="99"/>
    <w:unhideWhenUsed/>
    <w:rsid w:val="001C10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012"/>
  </w:style>
  <w:style w:type="character" w:customStyle="1" w:styleId="Ttulo2Car">
    <w:name w:val="Título 2 Car"/>
    <w:basedOn w:val="Fuentedeprrafopredeter"/>
    <w:link w:val="Ttulo2"/>
    <w:uiPriority w:val="9"/>
    <w:rsid w:val="00E81B52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styleId="nfasis">
    <w:name w:val="Emphasis"/>
    <w:basedOn w:val="Fuentedeprrafopredeter"/>
    <w:uiPriority w:val="20"/>
    <w:qFormat/>
    <w:rsid w:val="0037446D"/>
    <w:rPr>
      <w:i/>
      <w:iCs/>
    </w:rPr>
  </w:style>
  <w:style w:type="character" w:customStyle="1" w:styleId="pv-branch">
    <w:name w:val="pv-branch"/>
    <w:basedOn w:val="Fuentedeprrafopredeter"/>
    <w:rsid w:val="00163D4B"/>
  </w:style>
  <w:style w:type="paragraph" w:customStyle="1" w:styleId="epigrafe">
    <w:name w:val="epigrafe"/>
    <w:basedOn w:val="Normal"/>
    <w:rsid w:val="00163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3D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F928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9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E3E0C-13B4-4021-8B11-5E320DC51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539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ciedess</cp:lastModifiedBy>
  <cp:revision>6</cp:revision>
  <dcterms:created xsi:type="dcterms:W3CDTF">2019-01-30T02:15:00Z</dcterms:created>
  <dcterms:modified xsi:type="dcterms:W3CDTF">2019-01-31T03:16:00Z</dcterms:modified>
</cp:coreProperties>
</file>