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012" w:rsidRDefault="001C1012" w:rsidP="001C1012">
      <w:pPr>
        <w:jc w:val="center"/>
        <w:rPr>
          <w:b/>
          <w:sz w:val="24"/>
        </w:rPr>
      </w:pPr>
      <w:r w:rsidRPr="00F35385">
        <w:rPr>
          <w:b/>
          <w:sz w:val="24"/>
        </w:rPr>
        <w:t>PRUEBA N°</w:t>
      </w:r>
      <w:r w:rsidR="003E49F2">
        <w:rPr>
          <w:b/>
          <w:sz w:val="24"/>
        </w:rPr>
        <w:t>7</w:t>
      </w:r>
      <w:r w:rsidRPr="00F35385">
        <w:rPr>
          <w:b/>
          <w:sz w:val="24"/>
        </w:rPr>
        <w:t xml:space="preserve">. </w:t>
      </w:r>
      <w:r w:rsidR="003E49F2">
        <w:rPr>
          <w:b/>
          <w:sz w:val="24"/>
        </w:rPr>
        <w:t>TÉCNICOS EXTRANJEROS</w:t>
      </w:r>
    </w:p>
    <w:p w:rsidR="00894581" w:rsidRPr="00F35385" w:rsidRDefault="00894581" w:rsidP="001C1012">
      <w:pPr>
        <w:jc w:val="center"/>
        <w:rPr>
          <w:b/>
          <w:sz w:val="24"/>
        </w:rPr>
      </w:pPr>
    </w:p>
    <w:p w:rsidR="00B75C63" w:rsidRDefault="0037446D" w:rsidP="00B75C63">
      <w:pPr>
        <w:pStyle w:val="Prrafodelista"/>
        <w:numPr>
          <w:ilvl w:val="0"/>
          <w:numId w:val="10"/>
        </w:numPr>
        <w:jc w:val="both"/>
      </w:pPr>
      <w:r>
        <w:t>La Ley N° 18.156, modificada por la Ley N° 18.726, establece la exención de la obligación de dar cumplimiento a las leyes de previsión que rigen para los trabajadores en general, respecto de las empresas que celebren contratos de trabajo con personal técnico extranjero y de este personal. En consecuencia, tanto aquéllas como éste podrán abstenerse de enterar las cotizaciones previsionales de una Administradora de Fondos de Pensiones, siempre que se reúnan las condiciones establecidas en el artículo 1° de dicha ley, las cuales son</w:t>
      </w:r>
      <w:r w:rsidR="00B75C63" w:rsidRPr="00B75C63">
        <w:t>:</w:t>
      </w:r>
      <w:r w:rsidR="00B75C63" w:rsidRPr="00B75C63">
        <w:rPr>
          <w:vertAlign w:val="superscript"/>
        </w:rPr>
        <w:footnoteReference w:id="1"/>
      </w:r>
    </w:p>
    <w:p w:rsidR="00B75C63" w:rsidRPr="00B75C63" w:rsidRDefault="0037446D" w:rsidP="00B75C63">
      <w:pPr>
        <w:pStyle w:val="Prrafodelista"/>
        <w:numPr>
          <w:ilvl w:val="0"/>
          <w:numId w:val="17"/>
        </w:numPr>
        <w:ind w:hanging="447"/>
      </w:pPr>
      <w:r>
        <w:t>Que detenten la calidad de "técnicos", a lo menos</w:t>
      </w:r>
      <w:r w:rsidR="00B75C63" w:rsidRPr="00B75C63">
        <w:t>.</w:t>
      </w:r>
    </w:p>
    <w:p w:rsidR="00B75C63" w:rsidRPr="00B75C63" w:rsidRDefault="0037446D" w:rsidP="00B75C63">
      <w:pPr>
        <w:pStyle w:val="Prrafodelista"/>
        <w:numPr>
          <w:ilvl w:val="0"/>
          <w:numId w:val="17"/>
        </w:numPr>
        <w:ind w:hanging="447"/>
      </w:pPr>
      <w:r>
        <w:t>Que el trabajador se encuentre afiliado a un régimen de previsión o seguridad social fuera de Chile, cualquiera sea su naturaleza jurídica, que le otorgue prestaciones, a lo menos, en casos de enfermedad, invalidez, vejez y muerte</w:t>
      </w:r>
      <w:r w:rsidR="00B75C63" w:rsidRPr="00B75C63">
        <w:t>.</w:t>
      </w:r>
    </w:p>
    <w:p w:rsidR="00B75C63" w:rsidRPr="00B75C63" w:rsidRDefault="0037446D" w:rsidP="00B75C63">
      <w:pPr>
        <w:pStyle w:val="Prrafodelista"/>
        <w:numPr>
          <w:ilvl w:val="0"/>
          <w:numId w:val="17"/>
        </w:numPr>
        <w:ind w:hanging="447"/>
      </w:pPr>
      <w:r>
        <w:t>Que en el contrato de trabajo respectivo el trabajador exprese su voluntad de mantener la afiliación referida</w:t>
      </w:r>
      <w:r w:rsidR="00B75C63" w:rsidRPr="00B75C63">
        <w:t>.</w:t>
      </w:r>
    </w:p>
    <w:p w:rsidR="00876CAE" w:rsidRPr="0037446D" w:rsidRDefault="00B75C63" w:rsidP="001C1012">
      <w:pPr>
        <w:pStyle w:val="Prrafodelista"/>
        <w:numPr>
          <w:ilvl w:val="0"/>
          <w:numId w:val="2"/>
        </w:numPr>
        <w:ind w:left="1418" w:hanging="425"/>
      </w:pPr>
      <w:r w:rsidRPr="0037446D">
        <w:t>I y II</w:t>
      </w:r>
    </w:p>
    <w:p w:rsidR="00876CAE" w:rsidRDefault="00B75C63" w:rsidP="001C1012">
      <w:pPr>
        <w:pStyle w:val="Prrafodelista"/>
        <w:numPr>
          <w:ilvl w:val="0"/>
          <w:numId w:val="2"/>
        </w:numPr>
        <w:ind w:left="1418" w:hanging="425"/>
      </w:pPr>
      <w:r>
        <w:t>I y III</w:t>
      </w:r>
    </w:p>
    <w:p w:rsidR="00876CAE" w:rsidRDefault="00B75C63" w:rsidP="00876CAE">
      <w:pPr>
        <w:pStyle w:val="Prrafodelista"/>
        <w:numPr>
          <w:ilvl w:val="0"/>
          <w:numId w:val="2"/>
        </w:numPr>
        <w:ind w:left="1418" w:hanging="425"/>
      </w:pPr>
      <w:r>
        <w:t>II y III</w:t>
      </w:r>
    </w:p>
    <w:p w:rsidR="00876CAE" w:rsidRPr="0037446D" w:rsidRDefault="00B75C63" w:rsidP="00876CAE">
      <w:pPr>
        <w:pStyle w:val="Prrafodelista"/>
        <w:numPr>
          <w:ilvl w:val="0"/>
          <w:numId w:val="2"/>
        </w:numPr>
        <w:ind w:left="1418" w:hanging="425"/>
        <w:rPr>
          <w:highlight w:val="yellow"/>
        </w:rPr>
      </w:pPr>
      <w:r w:rsidRPr="0037446D">
        <w:rPr>
          <w:highlight w:val="yellow"/>
        </w:rPr>
        <w:t>I, II y III</w:t>
      </w:r>
    </w:p>
    <w:p w:rsidR="00894581" w:rsidRPr="00F35385" w:rsidRDefault="00894581"/>
    <w:p w:rsidR="00E16558" w:rsidRDefault="0037446D" w:rsidP="00E16558">
      <w:pPr>
        <w:pStyle w:val="Prrafodelista"/>
        <w:numPr>
          <w:ilvl w:val="0"/>
          <w:numId w:val="10"/>
        </w:numPr>
        <w:jc w:val="both"/>
      </w:pPr>
      <w:r>
        <w:t>Cuando un empleador mantenga bajo su dependencia a trabajadores extranjeros que cumplan las condiciones señaladas en la Ley N° 18.156 para eximirse de la obligación de cotizar, deberá poner este hecho en conocimiento de la Administradora correspondiente mediante comunicación escrita que será archivada en la carpeta individual del afiliado. LA exención regirá a contar de la siguiente fecha</w:t>
      </w:r>
      <w:r w:rsidR="00B75C63" w:rsidRPr="00E16558">
        <w:t>:</w:t>
      </w:r>
      <w:r w:rsidR="00E16558" w:rsidRPr="00E16558">
        <w:rPr>
          <w:vertAlign w:val="superscript"/>
        </w:rPr>
        <w:footnoteReference w:id="2"/>
      </w:r>
    </w:p>
    <w:p w:rsidR="003C6011" w:rsidRPr="0037446D" w:rsidRDefault="0037446D" w:rsidP="00E16558">
      <w:pPr>
        <w:pStyle w:val="Prrafodelista"/>
        <w:numPr>
          <w:ilvl w:val="0"/>
          <w:numId w:val="4"/>
        </w:numPr>
        <w:ind w:firstLine="414"/>
        <w:rPr>
          <w:highlight w:val="yellow"/>
        </w:rPr>
      </w:pPr>
      <w:r w:rsidRPr="0037446D">
        <w:rPr>
          <w:highlight w:val="yellow"/>
        </w:rPr>
        <w:t>A contar de la fecha de la comunicación</w:t>
      </w:r>
    </w:p>
    <w:p w:rsidR="003C6011" w:rsidRPr="00F35385" w:rsidRDefault="0037446D" w:rsidP="003C6011">
      <w:pPr>
        <w:pStyle w:val="Prrafodelista"/>
        <w:numPr>
          <w:ilvl w:val="0"/>
          <w:numId w:val="4"/>
        </w:numPr>
        <w:ind w:firstLine="414"/>
      </w:pPr>
      <w:r>
        <w:t>A contar de la fecha del contrato de trabajo</w:t>
      </w:r>
    </w:p>
    <w:p w:rsidR="00F66908" w:rsidRPr="00006F6B" w:rsidRDefault="0037446D" w:rsidP="00F66908">
      <w:pPr>
        <w:pStyle w:val="Prrafodelista"/>
        <w:numPr>
          <w:ilvl w:val="0"/>
          <w:numId w:val="4"/>
        </w:numPr>
        <w:ind w:firstLine="414"/>
      </w:pPr>
      <w:r>
        <w:t>A contar de la fecha de llegada del trabajador a Chile</w:t>
      </w:r>
    </w:p>
    <w:p w:rsidR="00F66908" w:rsidRPr="0037446D" w:rsidRDefault="0037446D" w:rsidP="00F66908">
      <w:pPr>
        <w:pStyle w:val="Prrafodelista"/>
        <w:numPr>
          <w:ilvl w:val="0"/>
          <w:numId w:val="4"/>
        </w:numPr>
        <w:ind w:firstLine="414"/>
      </w:pPr>
      <w:r w:rsidRPr="0037446D">
        <w:t>A contar de la fecha de afiliación del trabajador al sistema de pensiones.</w:t>
      </w:r>
    </w:p>
    <w:p w:rsidR="00894581" w:rsidRDefault="00894581"/>
    <w:p w:rsidR="00936DF8" w:rsidRDefault="00936DF8"/>
    <w:p w:rsidR="00936DF8" w:rsidRDefault="00936DF8"/>
    <w:p w:rsidR="00936DF8" w:rsidRPr="00F35385" w:rsidRDefault="00936DF8"/>
    <w:p w:rsidR="00F66908" w:rsidRPr="00F35385" w:rsidRDefault="0037446D" w:rsidP="00F66908">
      <w:pPr>
        <w:pStyle w:val="Prrafodelista"/>
        <w:numPr>
          <w:ilvl w:val="0"/>
          <w:numId w:val="10"/>
        </w:numPr>
      </w:pPr>
      <w:r>
        <w:t xml:space="preserve">Los afiliados técnicos extranjeros que deseen ejercer el derecho que les confiere la ley N° 18.156, deberán suscribir en la correspondiente Administradora un formulario </w:t>
      </w:r>
      <w:r>
        <w:rPr>
          <w:rStyle w:val="nfasis"/>
        </w:rPr>
        <w:t>"Solicitud de devolución de fondos previsionales Ley N° 18.156"</w:t>
      </w:r>
      <w:r>
        <w:t>. Esta solicitud podrá ser presentada por el propio afiliado o por un tercero debidamente acreditado. En este contexto, la Administradora deberá informar al afiliado en el momento en que éste suscriba la solicitud, que en caso de efectuarse el retiro de fondos, posteriormente no tendrá acceso a la Pensión Básica Solidaria. La razón es porque..</w:t>
      </w:r>
      <w:r w:rsidR="00936DF8">
        <w:t>.</w:t>
      </w:r>
      <w:r w:rsidR="003C6011">
        <w:rPr>
          <w:rStyle w:val="Refdenotaalpie"/>
        </w:rPr>
        <w:footnoteReference w:id="3"/>
      </w:r>
    </w:p>
    <w:p w:rsidR="00F73159" w:rsidRPr="0037446D" w:rsidRDefault="00F73159" w:rsidP="00F73159">
      <w:pPr>
        <w:pStyle w:val="Prrafodelista"/>
        <w:numPr>
          <w:ilvl w:val="0"/>
          <w:numId w:val="5"/>
        </w:numPr>
        <w:ind w:left="1134" w:hanging="283"/>
        <w:rPr>
          <w:highlight w:val="yellow"/>
        </w:rPr>
      </w:pPr>
      <w:r w:rsidRPr="0037446D">
        <w:rPr>
          <w:highlight w:val="yellow"/>
        </w:rPr>
        <w:t>El retiro supone la afiliación a otro régimen previsional</w:t>
      </w:r>
    </w:p>
    <w:p w:rsidR="00F73159" w:rsidRDefault="00F73159" w:rsidP="00F73159">
      <w:pPr>
        <w:pStyle w:val="Prrafodelista"/>
        <w:numPr>
          <w:ilvl w:val="0"/>
          <w:numId w:val="5"/>
        </w:numPr>
        <w:ind w:left="1134" w:hanging="283"/>
      </w:pPr>
      <w:r>
        <w:t>El retiro supone la renuncia implícita a los beneficios del pilar solidario</w:t>
      </w:r>
    </w:p>
    <w:p w:rsidR="0037446D" w:rsidRPr="0037446D" w:rsidRDefault="0037446D" w:rsidP="00936DF8">
      <w:pPr>
        <w:pStyle w:val="Prrafodelista"/>
        <w:numPr>
          <w:ilvl w:val="0"/>
          <w:numId w:val="5"/>
        </w:numPr>
        <w:ind w:left="1134" w:hanging="283"/>
      </w:pPr>
      <w:r>
        <w:t xml:space="preserve">El </w:t>
      </w:r>
      <w:r w:rsidRPr="0037446D">
        <w:t xml:space="preserve">retiro supone la </w:t>
      </w:r>
      <w:r>
        <w:t>renuncia a todo beneficio previsional en el sistema de pensiones</w:t>
      </w:r>
    </w:p>
    <w:p w:rsidR="00894581" w:rsidRDefault="00F73159" w:rsidP="0006254D">
      <w:pPr>
        <w:pStyle w:val="Prrafodelista"/>
        <w:numPr>
          <w:ilvl w:val="0"/>
          <w:numId w:val="5"/>
        </w:numPr>
        <w:ind w:left="1134" w:hanging="283"/>
      </w:pPr>
      <w:r>
        <w:t xml:space="preserve">El retiro supone que el afiliado dispone de recursos para sustentarse por sus propios medios. </w:t>
      </w:r>
    </w:p>
    <w:p w:rsidR="00785CBF" w:rsidRPr="00F35385" w:rsidRDefault="00F73159" w:rsidP="001022A4">
      <w:r>
        <w:t xml:space="preserve"> </w:t>
      </w:r>
    </w:p>
    <w:p w:rsidR="00596D17" w:rsidRDefault="00F73159" w:rsidP="00596D17">
      <w:pPr>
        <w:pStyle w:val="Prrafodelista"/>
        <w:numPr>
          <w:ilvl w:val="0"/>
          <w:numId w:val="10"/>
        </w:numPr>
      </w:pPr>
      <w:r>
        <w:t>Los retiros de recursos originados en cotizaciones obligatorias y depósitos convenidos, fondos por parte de técnicos extranjeros, estarán afectos a la tributación del artículo 42, N° 1, de la Ley sobre Impuesto a la Renta. Para tal efecto la devolución se considerará como…:</w:t>
      </w:r>
      <w:r w:rsidR="0086798B">
        <w:rPr>
          <w:rStyle w:val="Refdenotaalpie"/>
        </w:rPr>
        <w:footnoteReference w:id="4"/>
      </w:r>
      <w:r w:rsidR="00596D17" w:rsidRPr="00F35385">
        <w:t xml:space="preserve"> </w:t>
      </w:r>
    </w:p>
    <w:p w:rsidR="00F73159" w:rsidRDefault="00F73159" w:rsidP="00F73159">
      <w:pPr>
        <w:pStyle w:val="Prrafodelista"/>
        <w:numPr>
          <w:ilvl w:val="0"/>
          <w:numId w:val="6"/>
        </w:numPr>
        <w:ind w:left="1134" w:hanging="283"/>
      </w:pPr>
      <w:r>
        <w:t>Una gratificación voluntaria del empleador, afecta al impuesto único de segunda categoría.</w:t>
      </w:r>
    </w:p>
    <w:p w:rsidR="00F73159" w:rsidRPr="00F73159" w:rsidRDefault="00F73159" w:rsidP="001C1012">
      <w:pPr>
        <w:pStyle w:val="Prrafodelista"/>
        <w:numPr>
          <w:ilvl w:val="0"/>
          <w:numId w:val="6"/>
        </w:numPr>
        <w:ind w:left="1134" w:hanging="283"/>
        <w:rPr>
          <w:highlight w:val="yellow"/>
        </w:rPr>
      </w:pPr>
      <w:r w:rsidRPr="00F73159">
        <w:rPr>
          <w:highlight w:val="yellow"/>
        </w:rPr>
        <w:t xml:space="preserve">Una remuneración normal percibida por el trabajador extranjero en la fecha de su devolución </w:t>
      </w:r>
    </w:p>
    <w:p w:rsidR="00F73159" w:rsidRDefault="00F73159" w:rsidP="001C1012">
      <w:pPr>
        <w:pStyle w:val="Prrafodelista"/>
        <w:numPr>
          <w:ilvl w:val="0"/>
          <w:numId w:val="6"/>
        </w:numPr>
        <w:ind w:left="1134" w:hanging="283"/>
      </w:pPr>
      <w:r>
        <w:t xml:space="preserve">Una remuneración extraordinaria libre de impuestos, percibida por el trabajador extranjero en la fecha de su devolución </w:t>
      </w:r>
    </w:p>
    <w:p w:rsidR="004F3254" w:rsidRDefault="00F73159" w:rsidP="004F3254">
      <w:pPr>
        <w:pStyle w:val="Prrafodelista"/>
        <w:numPr>
          <w:ilvl w:val="0"/>
          <w:numId w:val="6"/>
        </w:numPr>
        <w:ind w:left="1134" w:hanging="283"/>
      </w:pPr>
      <w:r>
        <w:t>Un retiro de Excedente de Libre Disposición, tributando por UF 1.200 con tope de UF 200 al año, o por UF 800 de una sola vez.</w:t>
      </w:r>
    </w:p>
    <w:p w:rsidR="00894581" w:rsidRDefault="00894581" w:rsidP="00894581"/>
    <w:p w:rsidR="00894581" w:rsidRDefault="00894581" w:rsidP="00894581"/>
    <w:p w:rsidR="00785CBF" w:rsidRDefault="00785CBF" w:rsidP="00894581"/>
    <w:p w:rsidR="00936DF8" w:rsidRDefault="00936DF8" w:rsidP="00894581"/>
    <w:p w:rsidR="00936DF8" w:rsidRDefault="00936DF8" w:rsidP="00894581"/>
    <w:p w:rsidR="00936DF8" w:rsidRDefault="00936DF8" w:rsidP="00894581"/>
    <w:p w:rsidR="00894581" w:rsidRPr="00894581" w:rsidRDefault="00163D4B" w:rsidP="0076706C">
      <w:pPr>
        <w:pStyle w:val="Prrafodelista"/>
        <w:numPr>
          <w:ilvl w:val="0"/>
          <w:numId w:val="10"/>
        </w:numPr>
      </w:pPr>
      <w:r w:rsidRPr="00163D4B">
        <w:t>El formulario "Solicitud de Devolución de Fondos Previsionales Ley Nº 18.156", será de formato libre y deberá contener, al menos, la siguiente información:</w:t>
      </w:r>
      <w:r w:rsidR="00894581">
        <w:rPr>
          <w:rStyle w:val="Refdenotaalpie"/>
        </w:rPr>
        <w:footnoteReference w:id="5"/>
      </w:r>
    </w:p>
    <w:p w:rsidR="00894581" w:rsidRPr="00894581" w:rsidRDefault="00163D4B" w:rsidP="00985DA0">
      <w:pPr>
        <w:pStyle w:val="Prrafodelista"/>
        <w:numPr>
          <w:ilvl w:val="0"/>
          <w:numId w:val="22"/>
        </w:numPr>
        <w:ind w:hanging="447"/>
      </w:pPr>
      <w:r>
        <w:t>Identificación del Solicitante</w:t>
      </w:r>
      <w:r w:rsidR="00985DA0">
        <w:t>.</w:t>
      </w:r>
    </w:p>
    <w:p w:rsidR="00163D4B" w:rsidRPr="00894581" w:rsidRDefault="00163D4B" w:rsidP="00163D4B">
      <w:pPr>
        <w:pStyle w:val="Prrafodelista"/>
        <w:numPr>
          <w:ilvl w:val="0"/>
          <w:numId w:val="22"/>
        </w:numPr>
        <w:ind w:hanging="447"/>
      </w:pPr>
      <w:r>
        <w:t>Identificación del tribunal que certificó la validez de los documentos.</w:t>
      </w:r>
    </w:p>
    <w:p w:rsidR="00985DA0" w:rsidRPr="00894581" w:rsidRDefault="00163D4B" w:rsidP="00985DA0">
      <w:pPr>
        <w:pStyle w:val="Prrafodelista"/>
        <w:numPr>
          <w:ilvl w:val="0"/>
          <w:numId w:val="22"/>
        </w:numPr>
        <w:ind w:hanging="447"/>
      </w:pPr>
      <w:r>
        <w:t>Identificación del Empleador (Se refiere al actual o último Empleador)</w:t>
      </w:r>
      <w:r w:rsidR="00985DA0" w:rsidRPr="00894581">
        <w:t>.</w:t>
      </w:r>
    </w:p>
    <w:p w:rsidR="00894581" w:rsidRPr="00985DA0" w:rsidRDefault="00894581" w:rsidP="00894581">
      <w:pPr>
        <w:pStyle w:val="Prrafodelista"/>
        <w:numPr>
          <w:ilvl w:val="0"/>
          <w:numId w:val="18"/>
        </w:numPr>
        <w:ind w:left="1134" w:hanging="141"/>
      </w:pPr>
      <w:r w:rsidRPr="00985DA0">
        <w:t>I y II</w:t>
      </w:r>
    </w:p>
    <w:p w:rsidR="00894581" w:rsidRPr="00985DA0" w:rsidRDefault="00894581" w:rsidP="00894581">
      <w:pPr>
        <w:pStyle w:val="Prrafodelista"/>
        <w:numPr>
          <w:ilvl w:val="0"/>
          <w:numId w:val="18"/>
        </w:numPr>
        <w:ind w:left="1134" w:hanging="141"/>
        <w:rPr>
          <w:highlight w:val="yellow"/>
        </w:rPr>
      </w:pPr>
      <w:r w:rsidRPr="00985DA0">
        <w:rPr>
          <w:highlight w:val="yellow"/>
        </w:rPr>
        <w:t>I y III</w:t>
      </w:r>
    </w:p>
    <w:p w:rsidR="00894581" w:rsidRPr="00F35385" w:rsidRDefault="00894581" w:rsidP="00894581">
      <w:pPr>
        <w:pStyle w:val="Prrafodelista"/>
        <w:numPr>
          <w:ilvl w:val="0"/>
          <w:numId w:val="18"/>
        </w:numPr>
        <w:ind w:left="1134" w:hanging="141"/>
      </w:pPr>
      <w:r>
        <w:t>II y III</w:t>
      </w:r>
    </w:p>
    <w:p w:rsidR="00894581" w:rsidRDefault="00894581" w:rsidP="00AF6825">
      <w:pPr>
        <w:pStyle w:val="Prrafodelista"/>
        <w:numPr>
          <w:ilvl w:val="0"/>
          <w:numId w:val="18"/>
        </w:numPr>
        <w:ind w:left="1134" w:hanging="141"/>
      </w:pPr>
      <w:r w:rsidRPr="00894581">
        <w:t>I, II y III</w:t>
      </w:r>
    </w:p>
    <w:p w:rsidR="00985DA0" w:rsidRDefault="00985DA0" w:rsidP="00985DA0"/>
    <w:p w:rsidR="00163D4B" w:rsidRPr="00894581" w:rsidRDefault="00163D4B" w:rsidP="00163D4B">
      <w:pPr>
        <w:pStyle w:val="Prrafodelista"/>
        <w:numPr>
          <w:ilvl w:val="0"/>
          <w:numId w:val="10"/>
        </w:numPr>
      </w:pPr>
      <w:r>
        <w:t>No obstante la aplicabilidad de la Ley N° 18.156 que establece la exención de la obligación de dar cumplimiento a las leyes de previsión que rigen para los trabajadores técnicos extranjeros, los siguientes regímenes deben seguir siendo cotizados</w:t>
      </w:r>
      <w:r w:rsidRPr="00163D4B">
        <w:t>:</w:t>
      </w:r>
      <w:r>
        <w:rPr>
          <w:rStyle w:val="Refdenotaalpie"/>
        </w:rPr>
        <w:footnoteReference w:id="6"/>
      </w:r>
    </w:p>
    <w:p w:rsidR="00163D4B" w:rsidRPr="00894581" w:rsidRDefault="00163D4B" w:rsidP="00163D4B">
      <w:pPr>
        <w:pStyle w:val="Prrafodelista"/>
        <w:numPr>
          <w:ilvl w:val="0"/>
          <w:numId w:val="23"/>
        </w:numPr>
        <w:ind w:hanging="447"/>
      </w:pPr>
      <w:r>
        <w:t>Seguro de Cesantía</w:t>
      </w:r>
    </w:p>
    <w:p w:rsidR="00163D4B" w:rsidRPr="00894581" w:rsidRDefault="00163D4B" w:rsidP="00163D4B">
      <w:pPr>
        <w:pStyle w:val="Prrafodelista"/>
        <w:numPr>
          <w:ilvl w:val="0"/>
          <w:numId w:val="23"/>
        </w:numPr>
        <w:ind w:hanging="447"/>
      </w:pPr>
      <w:r>
        <w:t>Seguro de Invalidez y Sobrevivencia.</w:t>
      </w:r>
    </w:p>
    <w:p w:rsidR="00163D4B" w:rsidRPr="00894581" w:rsidRDefault="00163D4B" w:rsidP="00163D4B">
      <w:pPr>
        <w:pStyle w:val="Prrafodelista"/>
        <w:numPr>
          <w:ilvl w:val="0"/>
          <w:numId w:val="23"/>
        </w:numPr>
        <w:ind w:hanging="447"/>
      </w:pPr>
      <w:r>
        <w:t>Seguro contra accidentes del trabajo y enfermedades profesionales</w:t>
      </w:r>
    </w:p>
    <w:p w:rsidR="00163D4B" w:rsidRPr="00985DA0" w:rsidRDefault="00163D4B" w:rsidP="00163D4B">
      <w:pPr>
        <w:pStyle w:val="Prrafodelista"/>
        <w:numPr>
          <w:ilvl w:val="0"/>
          <w:numId w:val="24"/>
        </w:numPr>
        <w:ind w:left="1134" w:hanging="141"/>
      </w:pPr>
      <w:r w:rsidRPr="00985DA0">
        <w:t>I y II</w:t>
      </w:r>
    </w:p>
    <w:p w:rsidR="00163D4B" w:rsidRPr="00985DA0" w:rsidRDefault="00163D4B" w:rsidP="00163D4B">
      <w:pPr>
        <w:pStyle w:val="Prrafodelista"/>
        <w:numPr>
          <w:ilvl w:val="0"/>
          <w:numId w:val="24"/>
        </w:numPr>
        <w:ind w:left="1134" w:hanging="141"/>
        <w:rPr>
          <w:highlight w:val="yellow"/>
        </w:rPr>
      </w:pPr>
      <w:r w:rsidRPr="00985DA0">
        <w:rPr>
          <w:highlight w:val="yellow"/>
        </w:rPr>
        <w:t>I y III</w:t>
      </w:r>
    </w:p>
    <w:p w:rsidR="00163D4B" w:rsidRPr="00F35385" w:rsidRDefault="00163D4B" w:rsidP="00163D4B">
      <w:pPr>
        <w:pStyle w:val="Prrafodelista"/>
        <w:numPr>
          <w:ilvl w:val="0"/>
          <w:numId w:val="24"/>
        </w:numPr>
        <w:ind w:left="1134" w:hanging="141"/>
      </w:pPr>
      <w:r>
        <w:t>II y III</w:t>
      </w:r>
    </w:p>
    <w:p w:rsidR="00163D4B" w:rsidRDefault="00163D4B" w:rsidP="00163D4B">
      <w:pPr>
        <w:pStyle w:val="Prrafodelista"/>
        <w:numPr>
          <w:ilvl w:val="0"/>
          <w:numId w:val="24"/>
        </w:numPr>
        <w:ind w:left="1134" w:hanging="141"/>
      </w:pPr>
      <w:r w:rsidRPr="00894581">
        <w:t>I, II y III</w:t>
      </w:r>
    </w:p>
    <w:p w:rsidR="00163D4B" w:rsidRDefault="00163D4B" w:rsidP="00985DA0"/>
    <w:p w:rsidR="00985DA0" w:rsidRPr="00894581" w:rsidRDefault="00985DA0" w:rsidP="00985DA0"/>
    <w:sectPr w:rsidR="00985DA0" w:rsidRPr="00894581" w:rsidSect="001C1012">
      <w:headerReference w:type="default" r:id="rId8"/>
      <w:pgSz w:w="12240" w:h="15840"/>
      <w:pgMar w:top="1843" w:right="1701"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BEC" w:rsidRDefault="00106BEC" w:rsidP="00C03ECB">
      <w:pPr>
        <w:spacing w:after="0" w:line="240" w:lineRule="auto"/>
      </w:pPr>
      <w:r>
        <w:separator/>
      </w:r>
    </w:p>
  </w:endnote>
  <w:endnote w:type="continuationSeparator" w:id="0">
    <w:p w:rsidR="00106BEC" w:rsidRDefault="00106BEC" w:rsidP="00C03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BEC" w:rsidRDefault="00106BEC" w:rsidP="00C03ECB">
      <w:pPr>
        <w:spacing w:after="0" w:line="240" w:lineRule="auto"/>
      </w:pPr>
      <w:r>
        <w:separator/>
      </w:r>
    </w:p>
  </w:footnote>
  <w:footnote w:type="continuationSeparator" w:id="0">
    <w:p w:rsidR="00106BEC" w:rsidRDefault="00106BEC" w:rsidP="00C03ECB">
      <w:pPr>
        <w:spacing w:after="0" w:line="240" w:lineRule="auto"/>
      </w:pPr>
      <w:r>
        <w:continuationSeparator/>
      </w:r>
    </w:p>
  </w:footnote>
  <w:footnote w:id="1">
    <w:p w:rsidR="00B75C63" w:rsidRDefault="00B75C63" w:rsidP="0037446D">
      <w:pPr>
        <w:pStyle w:val="Textonotapie"/>
        <w:ind w:left="142" w:hanging="142"/>
      </w:pPr>
      <w:r>
        <w:rPr>
          <w:rStyle w:val="Refdenotaalpie"/>
        </w:rPr>
        <w:footnoteRef/>
      </w:r>
      <w:r>
        <w:t xml:space="preserve"> </w:t>
      </w:r>
      <w:r w:rsidR="0037446D">
        <w:t>Libro II Cotizaciones Previsionales. Título XI Exención de pago de cotizaciones previsionales a técnicos extranjeros y las empresas que los contraten. Devolución de fondos previsionales. Anexo. Inciso primero.</w:t>
      </w:r>
    </w:p>
  </w:footnote>
  <w:footnote w:id="2">
    <w:p w:rsidR="00E16558" w:rsidRDefault="00E16558" w:rsidP="00936DF8">
      <w:pPr>
        <w:pStyle w:val="Textonotapie"/>
        <w:ind w:left="142" w:hanging="142"/>
      </w:pPr>
      <w:r>
        <w:rPr>
          <w:rStyle w:val="Refdenotaalpie"/>
        </w:rPr>
        <w:footnoteRef/>
      </w:r>
      <w:r>
        <w:t xml:space="preserve"> </w:t>
      </w:r>
      <w:r w:rsidR="0037446D">
        <w:t>Libro II Cotizaciones Previsionales. Título XI Exención de pago de cotizaciones previsionales a técnicos extranjeros y las empresas que los contraten. Devolución de fondos previsionales. Anexo. Número 1.1</w:t>
      </w:r>
      <w:r w:rsidR="00936DF8">
        <w:t>.</w:t>
      </w:r>
    </w:p>
  </w:footnote>
  <w:footnote w:id="3">
    <w:p w:rsidR="003C6011" w:rsidRDefault="003C6011" w:rsidP="00936DF8">
      <w:pPr>
        <w:pStyle w:val="Textonotapie"/>
        <w:ind w:left="142" w:hanging="142"/>
      </w:pPr>
      <w:r>
        <w:rPr>
          <w:rStyle w:val="Refdenotaalpie"/>
        </w:rPr>
        <w:footnoteRef/>
      </w:r>
      <w:r>
        <w:t xml:space="preserve"> </w:t>
      </w:r>
      <w:r w:rsidR="00F73159">
        <w:t>Libro II Cotizaciones Previsionales. Título XI Exención de pago de cotizaciones previsionales a técnicos extranjeros y las empresas que los contraten. Devolución de fondos previsionales. Anexo. Número 2</w:t>
      </w:r>
      <w:r w:rsidR="00936DF8">
        <w:t>.</w:t>
      </w:r>
    </w:p>
  </w:footnote>
  <w:footnote w:id="4">
    <w:p w:rsidR="0086798B" w:rsidRDefault="0086798B" w:rsidP="00936DF8">
      <w:pPr>
        <w:pStyle w:val="Textonotapie"/>
        <w:ind w:left="142" w:hanging="142"/>
      </w:pPr>
      <w:r w:rsidRPr="00936DF8">
        <w:rPr>
          <w:vertAlign w:val="superscript"/>
        </w:rPr>
        <w:footnoteRef/>
      </w:r>
      <w:r>
        <w:t xml:space="preserve"> </w:t>
      </w:r>
      <w:r w:rsidR="00F73159">
        <w:t>Libro II Cotizaciones Previsionales. Título XI Exención de pago de cotizaciones previsionales a técnicos extranjeros y las empresas que los contraten. Devolución de fondos previsionales. Anexo. Número 3.1.</w:t>
      </w:r>
    </w:p>
  </w:footnote>
  <w:footnote w:id="5">
    <w:p w:rsidR="00894581" w:rsidRPr="00163D4B" w:rsidRDefault="00894581" w:rsidP="00163D4B">
      <w:pPr>
        <w:pStyle w:val="margen-abajo-xs"/>
        <w:spacing w:before="0" w:beforeAutospacing="0" w:after="0" w:afterAutospacing="0"/>
        <w:ind w:left="142" w:hanging="142"/>
        <w:rPr>
          <w:rFonts w:asciiTheme="minorHAnsi" w:eastAsiaTheme="minorHAnsi" w:hAnsiTheme="minorHAnsi" w:cstheme="minorBidi"/>
          <w:sz w:val="20"/>
          <w:szCs w:val="20"/>
          <w:lang w:eastAsia="en-US"/>
        </w:rPr>
      </w:pPr>
      <w:r>
        <w:rPr>
          <w:rStyle w:val="Refdenotaalpie"/>
        </w:rPr>
        <w:footnoteRef/>
      </w:r>
      <w:r>
        <w:t xml:space="preserve"> </w:t>
      </w:r>
      <w:r w:rsidR="00163D4B" w:rsidRPr="00163D4B">
        <w:rPr>
          <w:rFonts w:asciiTheme="minorHAnsi" w:eastAsiaTheme="minorHAnsi" w:hAnsiTheme="minorHAnsi" w:cstheme="minorBidi"/>
          <w:sz w:val="20"/>
          <w:szCs w:val="20"/>
          <w:lang w:eastAsia="en-US"/>
        </w:rPr>
        <w:t>Libro II, Título XI Exención de pago de cotizaciones previsionales a técnicos extranjeros y las empresas que los contraten. Devolución de fondos previsionales, Anexo</w:t>
      </w:r>
    </w:p>
  </w:footnote>
  <w:footnote w:id="6">
    <w:p w:rsidR="00163D4B" w:rsidRPr="00163D4B" w:rsidRDefault="00163D4B" w:rsidP="00163D4B">
      <w:pPr>
        <w:pStyle w:val="margen-abajo-xs"/>
        <w:spacing w:before="0" w:beforeAutospacing="0" w:after="0" w:afterAutospacing="0"/>
        <w:ind w:left="142" w:hanging="142"/>
        <w:rPr>
          <w:rFonts w:asciiTheme="minorHAnsi" w:eastAsiaTheme="minorHAnsi" w:hAnsiTheme="minorHAnsi" w:cstheme="minorBidi"/>
          <w:sz w:val="20"/>
          <w:szCs w:val="20"/>
          <w:lang w:eastAsia="en-US"/>
        </w:rPr>
      </w:pPr>
      <w:r>
        <w:rPr>
          <w:rStyle w:val="Refdenotaalpie"/>
        </w:rPr>
        <w:footnoteRef/>
      </w:r>
      <w:r>
        <w:t xml:space="preserve"> </w:t>
      </w:r>
      <w:r w:rsidRPr="00163D4B">
        <w:rPr>
          <w:rFonts w:asciiTheme="minorHAnsi" w:eastAsiaTheme="minorHAnsi" w:hAnsiTheme="minorHAnsi" w:cstheme="minorBidi"/>
          <w:sz w:val="20"/>
          <w:szCs w:val="20"/>
          <w:lang w:eastAsia="en-US"/>
        </w:rPr>
        <w:t>Dirección del Trabajo. Dictámenes. Técnicos Extranjeros. Cotización Seguro Cesantía. Procedencia. Dirección del Trabajo competencia. ORD. Nº1539/017. 28-mar-2012</w:t>
      </w:r>
      <w:r w:rsidR="00A90532">
        <w:rPr>
          <w:rFonts w:asciiTheme="minorHAnsi" w:eastAsiaTheme="minorHAnsi" w:hAnsiTheme="minorHAnsi" w:cstheme="minorBidi"/>
          <w:sz w:val="20"/>
          <w:szCs w:val="20"/>
          <w:lang w:eastAsia="en-US"/>
        </w:rPr>
        <w:t xml:space="preserve">. </w:t>
      </w:r>
      <w:bookmarkStart w:id="0" w:name="_GoBack"/>
      <w:bookmarkEnd w:id="0"/>
      <w:r w:rsidR="00A90532" w:rsidRPr="00A90532">
        <w:rPr>
          <w:rFonts w:asciiTheme="minorHAnsi" w:eastAsiaTheme="minorHAnsi" w:hAnsiTheme="minorHAnsi" w:cstheme="minorBidi"/>
          <w:sz w:val="20"/>
          <w:szCs w:val="20"/>
          <w:lang w:eastAsia="en-US"/>
        </w:rPr>
        <w:t>http://www.dt.gob.cl/legislacion/1624/w3-article-100564.html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12" w:rsidRDefault="001C1012">
    <w:pPr>
      <w:pStyle w:val="Encabezado"/>
    </w:pPr>
    <w:r>
      <w:rPr>
        <w:noProof/>
        <w:lang w:eastAsia="es-CL"/>
      </w:rPr>
      <w:drawing>
        <wp:inline distT="0" distB="0" distL="0" distR="0">
          <wp:extent cx="747533" cy="44767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incón Financiero..png"/>
                  <pic:cNvPicPr/>
                </pic:nvPicPr>
                <pic:blipFill>
                  <a:blip r:embed="rId1">
                    <a:extLst>
                      <a:ext uri="{28A0092B-C50C-407E-A947-70E740481C1C}">
                        <a14:useLocalDpi xmlns:a14="http://schemas.microsoft.com/office/drawing/2010/main" val="0"/>
                      </a:ext>
                    </a:extLst>
                  </a:blip>
                  <a:stretch>
                    <a:fillRect/>
                  </a:stretch>
                </pic:blipFill>
                <pic:spPr>
                  <a:xfrm>
                    <a:off x="0" y="0"/>
                    <a:ext cx="758701" cy="45436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0041F"/>
    <w:multiLevelType w:val="hybridMultilevel"/>
    <w:tmpl w:val="7FA20F82"/>
    <w:lvl w:ilvl="0" w:tplc="08E0DBF2">
      <w:start w:val="1"/>
      <w:numFmt w:val="upp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083B6F8B"/>
    <w:multiLevelType w:val="hybridMultilevel"/>
    <w:tmpl w:val="D73CBC28"/>
    <w:lvl w:ilvl="0" w:tplc="621C4FE6">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D901243"/>
    <w:multiLevelType w:val="hybridMultilevel"/>
    <w:tmpl w:val="7FA20F82"/>
    <w:lvl w:ilvl="0" w:tplc="08E0DBF2">
      <w:start w:val="1"/>
      <w:numFmt w:val="upp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12C076DB"/>
    <w:multiLevelType w:val="hybridMultilevel"/>
    <w:tmpl w:val="D73CBC28"/>
    <w:lvl w:ilvl="0" w:tplc="621C4FE6">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0CC5C87"/>
    <w:multiLevelType w:val="hybridMultilevel"/>
    <w:tmpl w:val="7FA20F82"/>
    <w:lvl w:ilvl="0" w:tplc="08E0DBF2">
      <w:start w:val="1"/>
      <w:numFmt w:val="upp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21BB4616"/>
    <w:multiLevelType w:val="hybridMultilevel"/>
    <w:tmpl w:val="D73CBC28"/>
    <w:lvl w:ilvl="0" w:tplc="621C4FE6">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2AC6046"/>
    <w:multiLevelType w:val="hybridMultilevel"/>
    <w:tmpl w:val="143C8B9C"/>
    <w:lvl w:ilvl="0" w:tplc="621C4FE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4CA0A3B"/>
    <w:multiLevelType w:val="hybridMultilevel"/>
    <w:tmpl w:val="D73CBC28"/>
    <w:lvl w:ilvl="0" w:tplc="621C4FE6">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9961825"/>
    <w:multiLevelType w:val="hybridMultilevel"/>
    <w:tmpl w:val="D73CBC28"/>
    <w:lvl w:ilvl="0" w:tplc="621C4FE6">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29957C5"/>
    <w:multiLevelType w:val="hybridMultilevel"/>
    <w:tmpl w:val="44387872"/>
    <w:lvl w:ilvl="0" w:tplc="BBE85B8A">
      <w:start w:val="1"/>
      <w:numFmt w:val="upp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385D769C"/>
    <w:multiLevelType w:val="hybridMultilevel"/>
    <w:tmpl w:val="D73CBC28"/>
    <w:lvl w:ilvl="0" w:tplc="621C4FE6">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E464F6B"/>
    <w:multiLevelType w:val="hybridMultilevel"/>
    <w:tmpl w:val="7FA20F82"/>
    <w:lvl w:ilvl="0" w:tplc="08E0DBF2">
      <w:start w:val="1"/>
      <w:numFmt w:val="upp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15:restartNumberingAfterBreak="0">
    <w:nsid w:val="42643079"/>
    <w:multiLevelType w:val="hybridMultilevel"/>
    <w:tmpl w:val="1EB6AF40"/>
    <w:lvl w:ilvl="0" w:tplc="5A66604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5E403AD"/>
    <w:multiLevelType w:val="hybridMultilevel"/>
    <w:tmpl w:val="785CCFBA"/>
    <w:lvl w:ilvl="0" w:tplc="F7A29B3A">
      <w:start w:val="1"/>
      <w:numFmt w:val="lowerLetter"/>
      <w:lvlText w:val="%1)"/>
      <w:lvlJc w:val="left"/>
      <w:pPr>
        <w:ind w:left="720" w:hanging="360"/>
      </w:pPr>
      <w:rPr>
        <w:rFonts w:hint="default"/>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DFE5602"/>
    <w:multiLevelType w:val="hybridMultilevel"/>
    <w:tmpl w:val="2362B2F6"/>
    <w:lvl w:ilvl="0" w:tplc="340A000F">
      <w:start w:val="1"/>
      <w:numFmt w:val="decimal"/>
      <w:lvlText w:val="%1."/>
      <w:lvlJc w:val="left"/>
      <w:pPr>
        <w:ind w:left="720" w:hanging="360"/>
      </w:pPr>
      <w:rPr>
        <w:rFonts w:hint="default"/>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E9C732B"/>
    <w:multiLevelType w:val="hybridMultilevel"/>
    <w:tmpl w:val="D73CBC28"/>
    <w:lvl w:ilvl="0" w:tplc="621C4FE6">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EA72410"/>
    <w:multiLevelType w:val="hybridMultilevel"/>
    <w:tmpl w:val="715EAFBC"/>
    <w:lvl w:ilvl="0" w:tplc="313AFF0C">
      <w:start w:val="1"/>
      <w:numFmt w:val="upperRoman"/>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53214B4"/>
    <w:multiLevelType w:val="hybridMultilevel"/>
    <w:tmpl w:val="D73CBC28"/>
    <w:lvl w:ilvl="0" w:tplc="621C4FE6">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9EE42DD"/>
    <w:multiLevelType w:val="hybridMultilevel"/>
    <w:tmpl w:val="9F04F4F4"/>
    <w:lvl w:ilvl="0" w:tplc="A9467966">
      <w:start w:val="1"/>
      <w:numFmt w:val="upperRoman"/>
      <w:lvlText w:val="%1."/>
      <w:lvlJc w:val="left"/>
      <w:pPr>
        <w:ind w:left="2138" w:hanging="720"/>
      </w:pPr>
      <w:rPr>
        <w:rFonts w:hint="default"/>
      </w:r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19" w15:restartNumberingAfterBreak="0">
    <w:nsid w:val="654726EE"/>
    <w:multiLevelType w:val="hybridMultilevel"/>
    <w:tmpl w:val="7FA20F82"/>
    <w:lvl w:ilvl="0" w:tplc="08E0DBF2">
      <w:start w:val="1"/>
      <w:numFmt w:val="upp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0" w15:restartNumberingAfterBreak="0">
    <w:nsid w:val="68485BF4"/>
    <w:multiLevelType w:val="hybridMultilevel"/>
    <w:tmpl w:val="D73CBC28"/>
    <w:lvl w:ilvl="0" w:tplc="621C4FE6">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867071A"/>
    <w:multiLevelType w:val="multilevel"/>
    <w:tmpl w:val="63BC9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753916"/>
    <w:multiLevelType w:val="hybridMultilevel"/>
    <w:tmpl w:val="8B4C8004"/>
    <w:lvl w:ilvl="0" w:tplc="340A0013">
      <w:start w:val="1"/>
      <w:numFmt w:val="upperRoman"/>
      <w:lvlText w:val="%1."/>
      <w:lvlJc w:val="right"/>
      <w:pPr>
        <w:ind w:left="1487" w:hanging="360"/>
      </w:pPr>
    </w:lvl>
    <w:lvl w:ilvl="1" w:tplc="340A0019" w:tentative="1">
      <w:start w:val="1"/>
      <w:numFmt w:val="lowerLetter"/>
      <w:lvlText w:val="%2."/>
      <w:lvlJc w:val="left"/>
      <w:pPr>
        <w:ind w:left="2207" w:hanging="360"/>
      </w:pPr>
    </w:lvl>
    <w:lvl w:ilvl="2" w:tplc="340A001B" w:tentative="1">
      <w:start w:val="1"/>
      <w:numFmt w:val="lowerRoman"/>
      <w:lvlText w:val="%3."/>
      <w:lvlJc w:val="right"/>
      <w:pPr>
        <w:ind w:left="2927" w:hanging="180"/>
      </w:pPr>
    </w:lvl>
    <w:lvl w:ilvl="3" w:tplc="340A000F" w:tentative="1">
      <w:start w:val="1"/>
      <w:numFmt w:val="decimal"/>
      <w:lvlText w:val="%4."/>
      <w:lvlJc w:val="left"/>
      <w:pPr>
        <w:ind w:left="3647" w:hanging="360"/>
      </w:pPr>
    </w:lvl>
    <w:lvl w:ilvl="4" w:tplc="340A0019" w:tentative="1">
      <w:start w:val="1"/>
      <w:numFmt w:val="lowerLetter"/>
      <w:lvlText w:val="%5."/>
      <w:lvlJc w:val="left"/>
      <w:pPr>
        <w:ind w:left="4367" w:hanging="360"/>
      </w:pPr>
    </w:lvl>
    <w:lvl w:ilvl="5" w:tplc="340A001B" w:tentative="1">
      <w:start w:val="1"/>
      <w:numFmt w:val="lowerRoman"/>
      <w:lvlText w:val="%6."/>
      <w:lvlJc w:val="right"/>
      <w:pPr>
        <w:ind w:left="5087" w:hanging="180"/>
      </w:pPr>
    </w:lvl>
    <w:lvl w:ilvl="6" w:tplc="340A000F" w:tentative="1">
      <w:start w:val="1"/>
      <w:numFmt w:val="decimal"/>
      <w:lvlText w:val="%7."/>
      <w:lvlJc w:val="left"/>
      <w:pPr>
        <w:ind w:left="5807" w:hanging="360"/>
      </w:pPr>
    </w:lvl>
    <w:lvl w:ilvl="7" w:tplc="340A0019" w:tentative="1">
      <w:start w:val="1"/>
      <w:numFmt w:val="lowerLetter"/>
      <w:lvlText w:val="%8."/>
      <w:lvlJc w:val="left"/>
      <w:pPr>
        <w:ind w:left="6527" w:hanging="360"/>
      </w:pPr>
    </w:lvl>
    <w:lvl w:ilvl="8" w:tplc="340A001B" w:tentative="1">
      <w:start w:val="1"/>
      <w:numFmt w:val="lowerRoman"/>
      <w:lvlText w:val="%9."/>
      <w:lvlJc w:val="right"/>
      <w:pPr>
        <w:ind w:left="7247" w:hanging="180"/>
      </w:pPr>
    </w:lvl>
  </w:abstractNum>
  <w:abstractNum w:abstractNumId="23" w15:restartNumberingAfterBreak="0">
    <w:nsid w:val="7441264E"/>
    <w:multiLevelType w:val="hybridMultilevel"/>
    <w:tmpl w:val="D73CBC28"/>
    <w:lvl w:ilvl="0" w:tplc="621C4FE6">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6"/>
  </w:num>
  <w:num w:numId="2">
    <w:abstractNumId w:val="1"/>
  </w:num>
  <w:num w:numId="3">
    <w:abstractNumId w:val="6"/>
  </w:num>
  <w:num w:numId="4">
    <w:abstractNumId w:val="8"/>
  </w:num>
  <w:num w:numId="5">
    <w:abstractNumId w:val="5"/>
  </w:num>
  <w:num w:numId="6">
    <w:abstractNumId w:val="7"/>
  </w:num>
  <w:num w:numId="7">
    <w:abstractNumId w:val="10"/>
  </w:num>
  <w:num w:numId="8">
    <w:abstractNumId w:val="20"/>
  </w:num>
  <w:num w:numId="9">
    <w:abstractNumId w:val="17"/>
  </w:num>
  <w:num w:numId="10">
    <w:abstractNumId w:val="14"/>
  </w:num>
  <w:num w:numId="11">
    <w:abstractNumId w:val="22"/>
  </w:num>
  <w:num w:numId="12">
    <w:abstractNumId w:val="3"/>
  </w:num>
  <w:num w:numId="13">
    <w:abstractNumId w:val="19"/>
  </w:num>
  <w:num w:numId="14">
    <w:abstractNumId w:val="9"/>
  </w:num>
  <w:num w:numId="15">
    <w:abstractNumId w:val="18"/>
  </w:num>
  <w:num w:numId="16">
    <w:abstractNumId w:val="21"/>
  </w:num>
  <w:num w:numId="17">
    <w:abstractNumId w:val="2"/>
  </w:num>
  <w:num w:numId="18">
    <w:abstractNumId w:val="23"/>
  </w:num>
  <w:num w:numId="19">
    <w:abstractNumId w:val="13"/>
  </w:num>
  <w:num w:numId="20">
    <w:abstractNumId w:val="12"/>
  </w:num>
  <w:num w:numId="21">
    <w:abstractNumId w:val="4"/>
  </w:num>
  <w:num w:numId="22">
    <w:abstractNumId w:val="0"/>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ECB"/>
    <w:rsid w:val="00006F6B"/>
    <w:rsid w:val="0004269A"/>
    <w:rsid w:val="001022A4"/>
    <w:rsid w:val="00106BEC"/>
    <w:rsid w:val="00163D4B"/>
    <w:rsid w:val="001874A9"/>
    <w:rsid w:val="001C1012"/>
    <w:rsid w:val="002011A4"/>
    <w:rsid w:val="00254C2F"/>
    <w:rsid w:val="0037446D"/>
    <w:rsid w:val="003B5B05"/>
    <w:rsid w:val="003C5ABD"/>
    <w:rsid w:val="003C6011"/>
    <w:rsid w:val="003E49F2"/>
    <w:rsid w:val="004425F9"/>
    <w:rsid w:val="004F3254"/>
    <w:rsid w:val="00513EBA"/>
    <w:rsid w:val="0055129E"/>
    <w:rsid w:val="00596D17"/>
    <w:rsid w:val="005B423E"/>
    <w:rsid w:val="00610CA1"/>
    <w:rsid w:val="00634B3C"/>
    <w:rsid w:val="006A3F26"/>
    <w:rsid w:val="006D64B8"/>
    <w:rsid w:val="00704A8F"/>
    <w:rsid w:val="00745803"/>
    <w:rsid w:val="00785CBF"/>
    <w:rsid w:val="00836AA9"/>
    <w:rsid w:val="008543A5"/>
    <w:rsid w:val="0086798B"/>
    <w:rsid w:val="00876CAE"/>
    <w:rsid w:val="00894581"/>
    <w:rsid w:val="00896CD3"/>
    <w:rsid w:val="00936DF8"/>
    <w:rsid w:val="00985DA0"/>
    <w:rsid w:val="00997283"/>
    <w:rsid w:val="009F49AC"/>
    <w:rsid w:val="00A5256B"/>
    <w:rsid w:val="00A70A1B"/>
    <w:rsid w:val="00A90532"/>
    <w:rsid w:val="00AA0D3C"/>
    <w:rsid w:val="00B27E3A"/>
    <w:rsid w:val="00B75C63"/>
    <w:rsid w:val="00C03ECB"/>
    <w:rsid w:val="00C41373"/>
    <w:rsid w:val="00C77780"/>
    <w:rsid w:val="00C82222"/>
    <w:rsid w:val="00CB11DC"/>
    <w:rsid w:val="00CD6426"/>
    <w:rsid w:val="00D65F57"/>
    <w:rsid w:val="00DC3081"/>
    <w:rsid w:val="00E16558"/>
    <w:rsid w:val="00E42F4F"/>
    <w:rsid w:val="00E81B52"/>
    <w:rsid w:val="00E94980"/>
    <w:rsid w:val="00F35385"/>
    <w:rsid w:val="00F37689"/>
    <w:rsid w:val="00F52E79"/>
    <w:rsid w:val="00F66908"/>
    <w:rsid w:val="00F73159"/>
    <w:rsid w:val="00F75FA3"/>
    <w:rsid w:val="00FF509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A4259E-FC89-44AD-9F4C-BB0E0F018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E81B52"/>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paragraph" w:styleId="Ttulo3">
    <w:name w:val="heading 3"/>
    <w:basedOn w:val="Normal"/>
    <w:next w:val="Normal"/>
    <w:link w:val="Ttulo3Car"/>
    <w:uiPriority w:val="9"/>
    <w:semiHidden/>
    <w:unhideWhenUsed/>
    <w:qFormat/>
    <w:rsid w:val="00163D4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03ECB"/>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notapie">
    <w:name w:val="footnote text"/>
    <w:basedOn w:val="Normal"/>
    <w:link w:val="TextonotapieCar"/>
    <w:uiPriority w:val="99"/>
    <w:semiHidden/>
    <w:unhideWhenUsed/>
    <w:rsid w:val="00C03EC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03ECB"/>
    <w:rPr>
      <w:sz w:val="20"/>
      <w:szCs w:val="20"/>
    </w:rPr>
  </w:style>
  <w:style w:type="character" w:styleId="Refdenotaalpie">
    <w:name w:val="footnote reference"/>
    <w:basedOn w:val="Fuentedeprrafopredeter"/>
    <w:uiPriority w:val="99"/>
    <w:semiHidden/>
    <w:unhideWhenUsed/>
    <w:rsid w:val="00C03ECB"/>
    <w:rPr>
      <w:vertAlign w:val="superscript"/>
    </w:rPr>
  </w:style>
  <w:style w:type="paragraph" w:styleId="Prrafodelista">
    <w:name w:val="List Paragraph"/>
    <w:basedOn w:val="Normal"/>
    <w:uiPriority w:val="34"/>
    <w:qFormat/>
    <w:rsid w:val="00C03ECB"/>
    <w:pPr>
      <w:ind w:left="720"/>
      <w:contextualSpacing/>
    </w:pPr>
  </w:style>
  <w:style w:type="paragraph" w:customStyle="1" w:styleId="margen-abajo-xs">
    <w:name w:val="margen-abajo-xs"/>
    <w:basedOn w:val="Normal"/>
    <w:rsid w:val="004F325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unhideWhenUsed/>
    <w:rsid w:val="001C10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1012"/>
  </w:style>
  <w:style w:type="paragraph" w:styleId="Piedepgina">
    <w:name w:val="footer"/>
    <w:basedOn w:val="Normal"/>
    <w:link w:val="PiedepginaCar"/>
    <w:uiPriority w:val="99"/>
    <w:unhideWhenUsed/>
    <w:rsid w:val="001C10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1012"/>
  </w:style>
  <w:style w:type="character" w:customStyle="1" w:styleId="Ttulo2Car">
    <w:name w:val="Título 2 Car"/>
    <w:basedOn w:val="Fuentedeprrafopredeter"/>
    <w:link w:val="Ttulo2"/>
    <w:uiPriority w:val="9"/>
    <w:rsid w:val="00E81B52"/>
    <w:rPr>
      <w:rFonts w:ascii="Times New Roman" w:eastAsia="Times New Roman" w:hAnsi="Times New Roman" w:cs="Times New Roman"/>
      <w:b/>
      <w:bCs/>
      <w:sz w:val="36"/>
      <w:szCs w:val="36"/>
      <w:lang w:eastAsia="es-CL"/>
    </w:rPr>
  </w:style>
  <w:style w:type="character" w:styleId="nfasis">
    <w:name w:val="Emphasis"/>
    <w:basedOn w:val="Fuentedeprrafopredeter"/>
    <w:uiPriority w:val="20"/>
    <w:qFormat/>
    <w:rsid w:val="0037446D"/>
    <w:rPr>
      <w:i/>
      <w:iCs/>
    </w:rPr>
  </w:style>
  <w:style w:type="character" w:customStyle="1" w:styleId="pv-branch">
    <w:name w:val="pv-branch"/>
    <w:basedOn w:val="Fuentedeprrafopredeter"/>
    <w:rsid w:val="00163D4B"/>
  </w:style>
  <w:style w:type="paragraph" w:customStyle="1" w:styleId="epigrafe">
    <w:name w:val="epigrafe"/>
    <w:basedOn w:val="Normal"/>
    <w:rsid w:val="00163D4B"/>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3Car">
    <w:name w:val="Título 3 Car"/>
    <w:basedOn w:val="Fuentedeprrafopredeter"/>
    <w:link w:val="Ttulo3"/>
    <w:uiPriority w:val="9"/>
    <w:semiHidden/>
    <w:rsid w:val="00163D4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5356">
      <w:bodyDiv w:val="1"/>
      <w:marLeft w:val="0"/>
      <w:marRight w:val="0"/>
      <w:marTop w:val="0"/>
      <w:marBottom w:val="0"/>
      <w:divBdr>
        <w:top w:val="none" w:sz="0" w:space="0" w:color="auto"/>
        <w:left w:val="none" w:sz="0" w:space="0" w:color="auto"/>
        <w:bottom w:val="none" w:sz="0" w:space="0" w:color="auto"/>
        <w:right w:val="none" w:sz="0" w:space="0" w:color="auto"/>
      </w:divBdr>
    </w:div>
    <w:div w:id="25376018">
      <w:bodyDiv w:val="1"/>
      <w:marLeft w:val="0"/>
      <w:marRight w:val="0"/>
      <w:marTop w:val="0"/>
      <w:marBottom w:val="0"/>
      <w:divBdr>
        <w:top w:val="none" w:sz="0" w:space="0" w:color="auto"/>
        <w:left w:val="none" w:sz="0" w:space="0" w:color="auto"/>
        <w:bottom w:val="none" w:sz="0" w:space="0" w:color="auto"/>
        <w:right w:val="none" w:sz="0" w:space="0" w:color="auto"/>
      </w:divBdr>
    </w:div>
    <w:div w:id="92239482">
      <w:bodyDiv w:val="1"/>
      <w:marLeft w:val="0"/>
      <w:marRight w:val="0"/>
      <w:marTop w:val="0"/>
      <w:marBottom w:val="0"/>
      <w:divBdr>
        <w:top w:val="none" w:sz="0" w:space="0" w:color="auto"/>
        <w:left w:val="none" w:sz="0" w:space="0" w:color="auto"/>
        <w:bottom w:val="none" w:sz="0" w:space="0" w:color="auto"/>
        <w:right w:val="none" w:sz="0" w:space="0" w:color="auto"/>
      </w:divBdr>
    </w:div>
    <w:div w:id="358705128">
      <w:bodyDiv w:val="1"/>
      <w:marLeft w:val="0"/>
      <w:marRight w:val="0"/>
      <w:marTop w:val="0"/>
      <w:marBottom w:val="0"/>
      <w:divBdr>
        <w:top w:val="none" w:sz="0" w:space="0" w:color="auto"/>
        <w:left w:val="none" w:sz="0" w:space="0" w:color="auto"/>
        <w:bottom w:val="none" w:sz="0" w:space="0" w:color="auto"/>
        <w:right w:val="none" w:sz="0" w:space="0" w:color="auto"/>
      </w:divBdr>
    </w:div>
    <w:div w:id="509413031">
      <w:bodyDiv w:val="1"/>
      <w:marLeft w:val="0"/>
      <w:marRight w:val="0"/>
      <w:marTop w:val="0"/>
      <w:marBottom w:val="0"/>
      <w:divBdr>
        <w:top w:val="none" w:sz="0" w:space="0" w:color="auto"/>
        <w:left w:val="none" w:sz="0" w:space="0" w:color="auto"/>
        <w:bottom w:val="none" w:sz="0" w:space="0" w:color="auto"/>
        <w:right w:val="none" w:sz="0" w:space="0" w:color="auto"/>
      </w:divBdr>
    </w:div>
    <w:div w:id="702439123">
      <w:bodyDiv w:val="1"/>
      <w:marLeft w:val="0"/>
      <w:marRight w:val="0"/>
      <w:marTop w:val="0"/>
      <w:marBottom w:val="0"/>
      <w:divBdr>
        <w:top w:val="none" w:sz="0" w:space="0" w:color="auto"/>
        <w:left w:val="none" w:sz="0" w:space="0" w:color="auto"/>
        <w:bottom w:val="none" w:sz="0" w:space="0" w:color="auto"/>
        <w:right w:val="none" w:sz="0" w:space="0" w:color="auto"/>
      </w:divBdr>
    </w:div>
    <w:div w:id="722099522">
      <w:bodyDiv w:val="1"/>
      <w:marLeft w:val="0"/>
      <w:marRight w:val="0"/>
      <w:marTop w:val="0"/>
      <w:marBottom w:val="0"/>
      <w:divBdr>
        <w:top w:val="none" w:sz="0" w:space="0" w:color="auto"/>
        <w:left w:val="none" w:sz="0" w:space="0" w:color="auto"/>
        <w:bottom w:val="none" w:sz="0" w:space="0" w:color="auto"/>
        <w:right w:val="none" w:sz="0" w:space="0" w:color="auto"/>
      </w:divBdr>
    </w:div>
    <w:div w:id="790053248">
      <w:bodyDiv w:val="1"/>
      <w:marLeft w:val="0"/>
      <w:marRight w:val="0"/>
      <w:marTop w:val="0"/>
      <w:marBottom w:val="0"/>
      <w:divBdr>
        <w:top w:val="none" w:sz="0" w:space="0" w:color="auto"/>
        <w:left w:val="none" w:sz="0" w:space="0" w:color="auto"/>
        <w:bottom w:val="none" w:sz="0" w:space="0" w:color="auto"/>
        <w:right w:val="none" w:sz="0" w:space="0" w:color="auto"/>
      </w:divBdr>
    </w:div>
    <w:div w:id="795876191">
      <w:bodyDiv w:val="1"/>
      <w:marLeft w:val="0"/>
      <w:marRight w:val="0"/>
      <w:marTop w:val="0"/>
      <w:marBottom w:val="0"/>
      <w:divBdr>
        <w:top w:val="none" w:sz="0" w:space="0" w:color="auto"/>
        <w:left w:val="none" w:sz="0" w:space="0" w:color="auto"/>
        <w:bottom w:val="none" w:sz="0" w:space="0" w:color="auto"/>
        <w:right w:val="none" w:sz="0" w:space="0" w:color="auto"/>
      </w:divBdr>
      <w:divsChild>
        <w:div w:id="2016690215">
          <w:marLeft w:val="0"/>
          <w:marRight w:val="0"/>
          <w:marTop w:val="0"/>
          <w:marBottom w:val="0"/>
          <w:divBdr>
            <w:top w:val="none" w:sz="0" w:space="0" w:color="auto"/>
            <w:left w:val="none" w:sz="0" w:space="0" w:color="auto"/>
            <w:bottom w:val="none" w:sz="0" w:space="0" w:color="auto"/>
            <w:right w:val="none" w:sz="0" w:space="0" w:color="auto"/>
          </w:divBdr>
        </w:div>
        <w:div w:id="944926025">
          <w:marLeft w:val="0"/>
          <w:marRight w:val="0"/>
          <w:marTop w:val="0"/>
          <w:marBottom w:val="0"/>
          <w:divBdr>
            <w:top w:val="none" w:sz="0" w:space="0" w:color="auto"/>
            <w:left w:val="none" w:sz="0" w:space="0" w:color="auto"/>
            <w:bottom w:val="none" w:sz="0" w:space="0" w:color="auto"/>
            <w:right w:val="none" w:sz="0" w:space="0" w:color="auto"/>
          </w:divBdr>
        </w:div>
      </w:divsChild>
    </w:div>
    <w:div w:id="896748178">
      <w:bodyDiv w:val="1"/>
      <w:marLeft w:val="0"/>
      <w:marRight w:val="0"/>
      <w:marTop w:val="0"/>
      <w:marBottom w:val="0"/>
      <w:divBdr>
        <w:top w:val="none" w:sz="0" w:space="0" w:color="auto"/>
        <w:left w:val="none" w:sz="0" w:space="0" w:color="auto"/>
        <w:bottom w:val="none" w:sz="0" w:space="0" w:color="auto"/>
        <w:right w:val="none" w:sz="0" w:space="0" w:color="auto"/>
      </w:divBdr>
      <w:divsChild>
        <w:div w:id="375472972">
          <w:marLeft w:val="0"/>
          <w:marRight w:val="0"/>
          <w:marTop w:val="0"/>
          <w:marBottom w:val="0"/>
          <w:divBdr>
            <w:top w:val="none" w:sz="0" w:space="0" w:color="auto"/>
            <w:left w:val="none" w:sz="0" w:space="0" w:color="auto"/>
            <w:bottom w:val="none" w:sz="0" w:space="0" w:color="auto"/>
            <w:right w:val="none" w:sz="0" w:space="0" w:color="auto"/>
          </w:divBdr>
        </w:div>
        <w:div w:id="1500854297">
          <w:marLeft w:val="0"/>
          <w:marRight w:val="0"/>
          <w:marTop w:val="0"/>
          <w:marBottom w:val="0"/>
          <w:divBdr>
            <w:top w:val="none" w:sz="0" w:space="0" w:color="auto"/>
            <w:left w:val="none" w:sz="0" w:space="0" w:color="auto"/>
            <w:bottom w:val="none" w:sz="0" w:space="0" w:color="auto"/>
            <w:right w:val="none" w:sz="0" w:space="0" w:color="auto"/>
          </w:divBdr>
        </w:div>
      </w:divsChild>
    </w:div>
    <w:div w:id="1527521394">
      <w:bodyDiv w:val="1"/>
      <w:marLeft w:val="0"/>
      <w:marRight w:val="0"/>
      <w:marTop w:val="0"/>
      <w:marBottom w:val="0"/>
      <w:divBdr>
        <w:top w:val="none" w:sz="0" w:space="0" w:color="auto"/>
        <w:left w:val="none" w:sz="0" w:space="0" w:color="auto"/>
        <w:bottom w:val="none" w:sz="0" w:space="0" w:color="auto"/>
        <w:right w:val="none" w:sz="0" w:space="0" w:color="auto"/>
      </w:divBdr>
    </w:div>
    <w:div w:id="1644626854">
      <w:bodyDiv w:val="1"/>
      <w:marLeft w:val="0"/>
      <w:marRight w:val="0"/>
      <w:marTop w:val="0"/>
      <w:marBottom w:val="0"/>
      <w:divBdr>
        <w:top w:val="none" w:sz="0" w:space="0" w:color="auto"/>
        <w:left w:val="none" w:sz="0" w:space="0" w:color="auto"/>
        <w:bottom w:val="none" w:sz="0" w:space="0" w:color="auto"/>
        <w:right w:val="none" w:sz="0" w:space="0" w:color="auto"/>
      </w:divBdr>
    </w:div>
    <w:div w:id="1713849357">
      <w:bodyDiv w:val="1"/>
      <w:marLeft w:val="0"/>
      <w:marRight w:val="0"/>
      <w:marTop w:val="0"/>
      <w:marBottom w:val="0"/>
      <w:divBdr>
        <w:top w:val="none" w:sz="0" w:space="0" w:color="auto"/>
        <w:left w:val="none" w:sz="0" w:space="0" w:color="auto"/>
        <w:bottom w:val="none" w:sz="0" w:space="0" w:color="auto"/>
        <w:right w:val="none" w:sz="0" w:space="0" w:color="auto"/>
      </w:divBdr>
    </w:div>
    <w:div w:id="1718552320">
      <w:bodyDiv w:val="1"/>
      <w:marLeft w:val="0"/>
      <w:marRight w:val="0"/>
      <w:marTop w:val="0"/>
      <w:marBottom w:val="0"/>
      <w:divBdr>
        <w:top w:val="none" w:sz="0" w:space="0" w:color="auto"/>
        <w:left w:val="none" w:sz="0" w:space="0" w:color="auto"/>
        <w:bottom w:val="none" w:sz="0" w:space="0" w:color="auto"/>
        <w:right w:val="none" w:sz="0" w:space="0" w:color="auto"/>
      </w:divBdr>
    </w:div>
    <w:div w:id="1726491423">
      <w:bodyDiv w:val="1"/>
      <w:marLeft w:val="0"/>
      <w:marRight w:val="0"/>
      <w:marTop w:val="0"/>
      <w:marBottom w:val="0"/>
      <w:divBdr>
        <w:top w:val="none" w:sz="0" w:space="0" w:color="auto"/>
        <w:left w:val="none" w:sz="0" w:space="0" w:color="auto"/>
        <w:bottom w:val="none" w:sz="0" w:space="0" w:color="auto"/>
        <w:right w:val="none" w:sz="0" w:space="0" w:color="auto"/>
      </w:divBdr>
    </w:div>
    <w:div w:id="1847745688">
      <w:bodyDiv w:val="1"/>
      <w:marLeft w:val="0"/>
      <w:marRight w:val="0"/>
      <w:marTop w:val="0"/>
      <w:marBottom w:val="0"/>
      <w:divBdr>
        <w:top w:val="none" w:sz="0" w:space="0" w:color="auto"/>
        <w:left w:val="none" w:sz="0" w:space="0" w:color="auto"/>
        <w:bottom w:val="none" w:sz="0" w:space="0" w:color="auto"/>
        <w:right w:val="none" w:sz="0" w:space="0" w:color="auto"/>
      </w:divBdr>
    </w:div>
    <w:div w:id="1870683618">
      <w:bodyDiv w:val="1"/>
      <w:marLeft w:val="0"/>
      <w:marRight w:val="0"/>
      <w:marTop w:val="0"/>
      <w:marBottom w:val="0"/>
      <w:divBdr>
        <w:top w:val="none" w:sz="0" w:space="0" w:color="auto"/>
        <w:left w:val="none" w:sz="0" w:space="0" w:color="auto"/>
        <w:bottom w:val="none" w:sz="0" w:space="0" w:color="auto"/>
        <w:right w:val="none" w:sz="0" w:space="0" w:color="auto"/>
      </w:divBdr>
    </w:div>
    <w:div w:id="1909682453">
      <w:bodyDiv w:val="1"/>
      <w:marLeft w:val="0"/>
      <w:marRight w:val="0"/>
      <w:marTop w:val="0"/>
      <w:marBottom w:val="0"/>
      <w:divBdr>
        <w:top w:val="none" w:sz="0" w:space="0" w:color="auto"/>
        <w:left w:val="none" w:sz="0" w:space="0" w:color="auto"/>
        <w:bottom w:val="none" w:sz="0" w:space="0" w:color="auto"/>
        <w:right w:val="none" w:sz="0" w:space="0" w:color="auto"/>
      </w:divBdr>
    </w:div>
    <w:div w:id="1994989528">
      <w:bodyDiv w:val="1"/>
      <w:marLeft w:val="0"/>
      <w:marRight w:val="0"/>
      <w:marTop w:val="0"/>
      <w:marBottom w:val="0"/>
      <w:divBdr>
        <w:top w:val="none" w:sz="0" w:space="0" w:color="auto"/>
        <w:left w:val="none" w:sz="0" w:space="0" w:color="auto"/>
        <w:bottom w:val="none" w:sz="0" w:space="0" w:color="auto"/>
        <w:right w:val="none" w:sz="0" w:space="0" w:color="auto"/>
      </w:divBdr>
    </w:div>
    <w:div w:id="1995139744">
      <w:bodyDiv w:val="1"/>
      <w:marLeft w:val="0"/>
      <w:marRight w:val="0"/>
      <w:marTop w:val="0"/>
      <w:marBottom w:val="0"/>
      <w:divBdr>
        <w:top w:val="none" w:sz="0" w:space="0" w:color="auto"/>
        <w:left w:val="none" w:sz="0" w:space="0" w:color="auto"/>
        <w:bottom w:val="none" w:sz="0" w:space="0" w:color="auto"/>
        <w:right w:val="none" w:sz="0" w:space="0" w:color="auto"/>
      </w:divBdr>
    </w:div>
    <w:div w:id="2080667365">
      <w:bodyDiv w:val="1"/>
      <w:marLeft w:val="0"/>
      <w:marRight w:val="0"/>
      <w:marTop w:val="0"/>
      <w:marBottom w:val="0"/>
      <w:divBdr>
        <w:top w:val="none" w:sz="0" w:space="0" w:color="auto"/>
        <w:left w:val="none" w:sz="0" w:space="0" w:color="auto"/>
        <w:bottom w:val="none" w:sz="0" w:space="0" w:color="auto"/>
        <w:right w:val="none" w:sz="0" w:space="0" w:color="auto"/>
      </w:divBdr>
    </w:div>
    <w:div w:id="213995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48437-FBDB-4847-9ACE-23AC98895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616</Words>
  <Characters>3388</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ciedess</cp:lastModifiedBy>
  <cp:revision>6</cp:revision>
  <dcterms:created xsi:type="dcterms:W3CDTF">2019-01-27T20:53:00Z</dcterms:created>
  <dcterms:modified xsi:type="dcterms:W3CDTF">2019-01-28T02:11:00Z</dcterms:modified>
</cp:coreProperties>
</file>